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B6145" w14:textId="1EFDDE95" w:rsidR="00C60CC2" w:rsidRPr="00B13FC6" w:rsidRDefault="00464DED" w:rsidP="00C60CC2">
      <w:pPr>
        <w:ind w:firstLine="708"/>
      </w:pPr>
      <w:r>
        <w:t>,</w:t>
      </w:r>
      <w:r w:rsidR="00C60CC2" w:rsidRPr="00B13FC6">
        <w:object w:dxaOrig="5339" w:dyaOrig="1125" w14:anchorId="13EDD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36pt" o:ole="">
            <v:imagedata r:id="rId8" o:title=""/>
          </v:shape>
          <o:OLEObject Type="Embed" ProgID="MSPhotoEd.3" ShapeID="_x0000_i1025" DrawAspect="Content" ObjectID="_1682488511" r:id="rId9"/>
        </w:object>
      </w:r>
    </w:p>
    <w:p w14:paraId="1BBF8164" w14:textId="6DB96732" w:rsidR="00C60CC2" w:rsidRPr="00B13FC6" w:rsidRDefault="00C60CC2" w:rsidP="00C60CC2">
      <w:pPr>
        <w:jc w:val="center"/>
        <w:rPr>
          <w:rFonts w:ascii="Arial" w:hAnsi="Arial" w:cs="Arial"/>
          <w:b/>
          <w:sz w:val="28"/>
          <w:szCs w:val="28"/>
        </w:rPr>
      </w:pPr>
      <w:r w:rsidRPr="00B13FC6">
        <w:rPr>
          <w:rFonts w:ascii="Arial" w:hAnsi="Arial" w:cs="Arial"/>
          <w:b/>
          <w:sz w:val="28"/>
          <w:szCs w:val="28"/>
        </w:rPr>
        <w:t>Zverejnenie informácií podľa stavu k 3</w:t>
      </w:r>
      <w:r w:rsidR="00422481">
        <w:rPr>
          <w:rFonts w:ascii="Arial" w:hAnsi="Arial" w:cs="Arial"/>
          <w:b/>
          <w:sz w:val="28"/>
          <w:szCs w:val="28"/>
        </w:rPr>
        <w:t>1</w:t>
      </w:r>
      <w:r w:rsidRPr="00B13FC6">
        <w:rPr>
          <w:rFonts w:ascii="Arial" w:hAnsi="Arial" w:cs="Arial"/>
          <w:b/>
          <w:sz w:val="28"/>
          <w:szCs w:val="28"/>
        </w:rPr>
        <w:t>.</w:t>
      </w:r>
      <w:r w:rsidR="00606BB8">
        <w:rPr>
          <w:rFonts w:ascii="Arial" w:hAnsi="Arial" w:cs="Arial"/>
          <w:b/>
          <w:sz w:val="28"/>
          <w:szCs w:val="28"/>
        </w:rPr>
        <w:t>03</w:t>
      </w:r>
      <w:r w:rsidRPr="00B13FC6">
        <w:rPr>
          <w:rFonts w:ascii="Arial" w:hAnsi="Arial" w:cs="Arial"/>
          <w:b/>
          <w:sz w:val="28"/>
          <w:szCs w:val="28"/>
        </w:rPr>
        <w:t>.20</w:t>
      </w:r>
      <w:r w:rsidR="006E0591" w:rsidRPr="00B13FC6">
        <w:rPr>
          <w:rFonts w:ascii="Arial" w:hAnsi="Arial" w:cs="Arial"/>
          <w:b/>
          <w:sz w:val="28"/>
          <w:szCs w:val="28"/>
        </w:rPr>
        <w:t>2</w:t>
      </w:r>
      <w:r w:rsidR="00606BB8">
        <w:rPr>
          <w:rFonts w:ascii="Arial" w:hAnsi="Arial" w:cs="Arial"/>
          <w:b/>
          <w:sz w:val="28"/>
          <w:szCs w:val="28"/>
        </w:rPr>
        <w:t>1</w:t>
      </w:r>
    </w:p>
    <w:p w14:paraId="1CD38D68" w14:textId="1A93F9B1" w:rsidR="00C60CC2" w:rsidRPr="00B13FC6" w:rsidRDefault="00C60CC2" w:rsidP="00C60CC2">
      <w:pPr>
        <w:jc w:val="center"/>
        <w:rPr>
          <w:rFonts w:ascii="Arial" w:hAnsi="Arial" w:cs="Arial"/>
          <w:b/>
          <w:sz w:val="26"/>
          <w:szCs w:val="26"/>
        </w:rPr>
      </w:pPr>
      <w:r w:rsidRPr="00B13FC6">
        <w:rPr>
          <w:rFonts w:ascii="Arial" w:hAnsi="Arial" w:cs="Arial"/>
          <w:b/>
          <w:sz w:val="26"/>
          <w:szCs w:val="26"/>
        </w:rPr>
        <w:t>§ 1 ods. (1) Informácie o banke a jej činnosti</w:t>
      </w:r>
    </w:p>
    <w:p w14:paraId="39DEB85E" w14:textId="77777777" w:rsidR="00697631" w:rsidRPr="00B13FC6" w:rsidRDefault="00697631" w:rsidP="00C60CC2">
      <w:pPr>
        <w:jc w:val="center"/>
        <w:rPr>
          <w:rFonts w:ascii="Arial" w:hAnsi="Arial" w:cs="Arial"/>
          <w:b/>
          <w:sz w:val="20"/>
          <w:szCs w:val="20"/>
        </w:rPr>
      </w:pPr>
    </w:p>
    <w:p w14:paraId="7AE48B78" w14:textId="297D1AC1" w:rsidR="00C60CC2" w:rsidRPr="00A460E6" w:rsidRDefault="00C60CC2" w:rsidP="00C60CC2">
      <w:pPr>
        <w:pStyle w:val="ListParagraph"/>
        <w:numPr>
          <w:ilvl w:val="0"/>
          <w:numId w:val="28"/>
        </w:numPr>
        <w:rPr>
          <w:rFonts w:ascii="Arial" w:hAnsi="Arial" w:cs="Arial"/>
          <w:b/>
          <w:sz w:val="20"/>
          <w:szCs w:val="20"/>
        </w:rPr>
      </w:pPr>
      <w:r w:rsidRPr="00A460E6">
        <w:rPr>
          <w:rFonts w:ascii="Arial" w:hAnsi="Arial" w:cs="Arial"/>
          <w:b/>
          <w:sz w:val="20"/>
          <w:szCs w:val="20"/>
        </w:rPr>
        <w:t>Organizačná schéma, počet zamestnancov</w:t>
      </w:r>
    </w:p>
    <w:permStart w:id="193028435" w:edGrp="everyone"/>
    <w:bookmarkStart w:id="0" w:name="_MON_1649488752"/>
    <w:bookmarkEnd w:id="0"/>
    <w:p w14:paraId="2CC77FBE" w14:textId="4352355E" w:rsidR="00C60CC2" w:rsidRPr="00A460E6" w:rsidRDefault="00DD5557" w:rsidP="00C60CC2">
      <w:pPr>
        <w:pStyle w:val="ListParagraph"/>
        <w:ind w:left="390"/>
        <w:rPr>
          <w:rFonts w:ascii="Arial" w:hAnsi="Arial" w:cs="Arial"/>
          <w:sz w:val="18"/>
          <w:szCs w:val="18"/>
        </w:rPr>
      </w:pPr>
      <w:r w:rsidRPr="00A460E6">
        <w:rPr>
          <w:rFonts w:ascii="Arial" w:hAnsi="Arial" w:cs="Arial"/>
          <w:sz w:val="18"/>
          <w:szCs w:val="18"/>
        </w:rPr>
        <w:object w:dxaOrig="1399" w:dyaOrig="905" w14:anchorId="27E5D757">
          <v:shape id="_x0000_i1026" type="#_x0000_t75" style="width:100.5pt;height:64.5pt" o:ole="">
            <v:imagedata r:id="rId10" o:title=""/>
          </v:shape>
          <o:OLEObject Type="Embed" ProgID="Excel.Sheet.12" ShapeID="_x0000_i1026" DrawAspect="Icon" ObjectID="_1682488512" r:id="rId11"/>
        </w:object>
      </w:r>
      <w:permEnd w:id="193028435"/>
    </w:p>
    <w:tbl>
      <w:tblPr>
        <w:tblW w:w="9219" w:type="dxa"/>
        <w:tblInd w:w="6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280"/>
        <w:gridCol w:w="1939"/>
      </w:tblGrid>
      <w:tr w:rsidR="00C60CC2" w:rsidRPr="00A460E6" w14:paraId="1C1918DC" w14:textId="77777777" w:rsidTr="00F2541B">
        <w:trPr>
          <w:trHeight w:val="305"/>
        </w:trPr>
        <w:tc>
          <w:tcPr>
            <w:tcW w:w="7280" w:type="dxa"/>
            <w:tcBorders>
              <w:top w:val="single" w:sz="4" w:space="0" w:color="auto"/>
              <w:bottom w:val="single" w:sz="4" w:space="0" w:color="auto"/>
            </w:tcBorders>
            <w:shd w:val="clear" w:color="auto" w:fill="auto"/>
            <w:hideMark/>
          </w:tcPr>
          <w:p w14:paraId="7C7C6D51" w14:textId="77777777" w:rsidR="00C60CC2" w:rsidRPr="00A460E6" w:rsidRDefault="00C60CC2" w:rsidP="00F2541B">
            <w:pPr>
              <w:spacing w:after="0" w:line="240" w:lineRule="auto"/>
              <w:rPr>
                <w:rFonts w:ascii="Arial" w:eastAsia="Times New Roman" w:hAnsi="Arial" w:cs="Arial"/>
                <w:b/>
                <w:bCs/>
                <w:sz w:val="20"/>
                <w:szCs w:val="20"/>
              </w:rPr>
            </w:pPr>
            <w:r w:rsidRPr="00A460E6">
              <w:rPr>
                <w:rFonts w:ascii="Arial" w:eastAsia="Times New Roman" w:hAnsi="Arial" w:cs="Arial"/>
                <w:b/>
                <w:bCs/>
                <w:sz w:val="20"/>
                <w:szCs w:val="20"/>
              </w:rPr>
              <w:t>Počet zamestnancov</w:t>
            </w:r>
          </w:p>
        </w:tc>
        <w:tc>
          <w:tcPr>
            <w:tcW w:w="1939" w:type="dxa"/>
            <w:tcBorders>
              <w:top w:val="single" w:sz="4" w:space="0" w:color="auto"/>
              <w:bottom w:val="single" w:sz="4" w:space="0" w:color="auto"/>
            </w:tcBorders>
            <w:shd w:val="clear" w:color="auto" w:fill="auto"/>
            <w:hideMark/>
          </w:tcPr>
          <w:p w14:paraId="4C7ABFB3" w14:textId="77777777" w:rsidR="00C60CC2" w:rsidRPr="00A460E6" w:rsidRDefault="00C60CC2" w:rsidP="00F2541B">
            <w:pPr>
              <w:spacing w:after="0" w:line="240" w:lineRule="auto"/>
              <w:jc w:val="center"/>
              <w:rPr>
                <w:rFonts w:ascii="Arial" w:eastAsia="Times New Roman" w:hAnsi="Arial" w:cs="Arial"/>
                <w:sz w:val="20"/>
                <w:szCs w:val="20"/>
              </w:rPr>
            </w:pPr>
          </w:p>
        </w:tc>
      </w:tr>
      <w:tr w:rsidR="00C60CC2" w:rsidRPr="00A460E6" w14:paraId="7ECF9344" w14:textId="77777777" w:rsidTr="00F2541B">
        <w:trPr>
          <w:trHeight w:val="234"/>
        </w:trPr>
        <w:tc>
          <w:tcPr>
            <w:tcW w:w="7280" w:type="dxa"/>
            <w:tcBorders>
              <w:top w:val="single" w:sz="4" w:space="0" w:color="auto"/>
            </w:tcBorders>
            <w:shd w:val="clear" w:color="000000" w:fill="FFFFFF"/>
            <w:hideMark/>
          </w:tcPr>
          <w:p w14:paraId="09DB79CE" w14:textId="77777777" w:rsidR="00C60CC2" w:rsidRPr="00A460E6" w:rsidRDefault="00C60CC2" w:rsidP="00F2541B">
            <w:pPr>
              <w:spacing w:after="0" w:line="240" w:lineRule="auto"/>
              <w:rPr>
                <w:rFonts w:ascii="Arial" w:eastAsia="Times New Roman" w:hAnsi="Arial" w:cs="Arial"/>
                <w:sz w:val="20"/>
                <w:szCs w:val="20"/>
              </w:rPr>
            </w:pPr>
            <w:r w:rsidRPr="00A460E6">
              <w:rPr>
                <w:rFonts w:ascii="Arial" w:eastAsia="Times New Roman" w:hAnsi="Arial" w:cs="Arial"/>
                <w:sz w:val="20"/>
                <w:szCs w:val="20"/>
              </w:rPr>
              <w:t>Celkový počet zamestnancov podľa evidenčného stavu</w:t>
            </w:r>
          </w:p>
        </w:tc>
        <w:tc>
          <w:tcPr>
            <w:tcW w:w="1939" w:type="dxa"/>
            <w:tcBorders>
              <w:top w:val="single" w:sz="4" w:space="0" w:color="auto"/>
            </w:tcBorders>
            <w:shd w:val="clear" w:color="auto" w:fill="auto"/>
            <w:hideMark/>
          </w:tcPr>
          <w:p w14:paraId="43DC8B0F" w14:textId="667F87B1" w:rsidR="00C60CC2" w:rsidRPr="00A460E6" w:rsidRDefault="00C60CC2" w:rsidP="0055182E">
            <w:pPr>
              <w:spacing w:after="0" w:line="240" w:lineRule="auto"/>
              <w:jc w:val="center"/>
              <w:rPr>
                <w:rFonts w:ascii="Arial" w:eastAsia="Times New Roman" w:hAnsi="Arial" w:cs="Arial"/>
                <w:sz w:val="20"/>
                <w:szCs w:val="20"/>
              </w:rPr>
            </w:pPr>
            <w:r w:rsidRPr="00A460E6">
              <w:rPr>
                <w:rFonts w:ascii="Arial" w:eastAsia="Times New Roman" w:hAnsi="Arial" w:cs="Arial"/>
                <w:sz w:val="20"/>
                <w:szCs w:val="20"/>
              </w:rPr>
              <w:t>6</w:t>
            </w:r>
            <w:r w:rsidR="00A460E6" w:rsidRPr="00A460E6">
              <w:rPr>
                <w:rFonts w:ascii="Arial" w:eastAsia="Times New Roman" w:hAnsi="Arial" w:cs="Arial"/>
                <w:sz w:val="20"/>
                <w:szCs w:val="20"/>
              </w:rPr>
              <w:t>23</w:t>
            </w:r>
            <w:r w:rsidRPr="00A460E6">
              <w:rPr>
                <w:rFonts w:ascii="Arial" w:eastAsia="Times New Roman" w:hAnsi="Arial" w:cs="Arial"/>
                <w:sz w:val="20"/>
                <w:szCs w:val="20"/>
              </w:rPr>
              <w:t> </w:t>
            </w:r>
          </w:p>
        </w:tc>
      </w:tr>
      <w:tr w:rsidR="00C60CC2" w:rsidRPr="00B13FC6" w14:paraId="1F3CE768" w14:textId="77777777" w:rsidTr="00F2541B">
        <w:trPr>
          <w:trHeight w:val="251"/>
        </w:trPr>
        <w:tc>
          <w:tcPr>
            <w:tcW w:w="7280" w:type="dxa"/>
            <w:shd w:val="clear" w:color="000000" w:fill="FFFFFF"/>
            <w:hideMark/>
          </w:tcPr>
          <w:p w14:paraId="7C518937" w14:textId="77777777" w:rsidR="00C60CC2" w:rsidRPr="00A460E6" w:rsidRDefault="00C60CC2" w:rsidP="00F2541B">
            <w:pPr>
              <w:spacing w:after="0" w:line="240" w:lineRule="auto"/>
              <w:rPr>
                <w:rFonts w:ascii="Arial" w:eastAsia="Times New Roman" w:hAnsi="Arial" w:cs="Arial"/>
                <w:sz w:val="20"/>
                <w:szCs w:val="20"/>
              </w:rPr>
            </w:pPr>
            <w:r w:rsidRPr="00A460E6">
              <w:rPr>
                <w:rFonts w:ascii="Arial" w:eastAsia="Times New Roman" w:hAnsi="Arial" w:cs="Arial"/>
                <w:sz w:val="20"/>
                <w:szCs w:val="20"/>
              </w:rPr>
              <w:t>- z toho počet vedúcich zamestnancov: (podriadených štatutárnemu orgánu)</w:t>
            </w:r>
          </w:p>
        </w:tc>
        <w:tc>
          <w:tcPr>
            <w:tcW w:w="1939" w:type="dxa"/>
            <w:shd w:val="clear" w:color="auto" w:fill="auto"/>
            <w:hideMark/>
          </w:tcPr>
          <w:p w14:paraId="5F0A0A60" w14:textId="125ED539" w:rsidR="00C60CC2" w:rsidRPr="00B13FC6" w:rsidRDefault="00410C88" w:rsidP="00410C88">
            <w:pPr>
              <w:spacing w:after="0" w:line="240" w:lineRule="auto"/>
              <w:jc w:val="center"/>
              <w:rPr>
                <w:rFonts w:ascii="Arial" w:eastAsia="Times New Roman" w:hAnsi="Arial" w:cs="Arial"/>
                <w:sz w:val="20"/>
                <w:szCs w:val="20"/>
              </w:rPr>
            </w:pPr>
            <w:r w:rsidRPr="00A460E6">
              <w:rPr>
                <w:rFonts w:ascii="Arial" w:eastAsia="Times New Roman" w:hAnsi="Arial" w:cs="Arial"/>
                <w:sz w:val="20"/>
                <w:szCs w:val="20"/>
              </w:rPr>
              <w:t xml:space="preserve"> </w:t>
            </w:r>
            <w:r w:rsidR="00C60CC2" w:rsidRPr="00A460E6">
              <w:rPr>
                <w:rFonts w:ascii="Arial" w:eastAsia="Times New Roman" w:hAnsi="Arial" w:cs="Arial"/>
                <w:sz w:val="20"/>
                <w:szCs w:val="20"/>
              </w:rPr>
              <w:t>1</w:t>
            </w:r>
            <w:r w:rsidRPr="00A460E6">
              <w:rPr>
                <w:rFonts w:ascii="Arial" w:eastAsia="Times New Roman" w:hAnsi="Arial" w:cs="Arial"/>
                <w:sz w:val="20"/>
                <w:szCs w:val="20"/>
              </w:rPr>
              <w:t>7</w:t>
            </w:r>
          </w:p>
        </w:tc>
      </w:tr>
    </w:tbl>
    <w:p w14:paraId="7E865526" w14:textId="77777777" w:rsidR="00C60CC2" w:rsidRPr="00B13FC6" w:rsidRDefault="00C60CC2" w:rsidP="00C60CC2">
      <w:pPr>
        <w:pStyle w:val="ListParagraph"/>
        <w:ind w:left="390"/>
        <w:rPr>
          <w:rFonts w:ascii="Arial" w:hAnsi="Arial" w:cs="Arial"/>
          <w:b/>
          <w:sz w:val="20"/>
          <w:szCs w:val="20"/>
        </w:rPr>
      </w:pPr>
    </w:p>
    <w:p w14:paraId="027D80E1" w14:textId="77777777" w:rsidR="00C60CC2" w:rsidRPr="00BD62FC" w:rsidRDefault="00C60CC2" w:rsidP="00C60CC2">
      <w:pPr>
        <w:spacing w:line="240" w:lineRule="auto"/>
        <w:ind w:left="30"/>
        <w:rPr>
          <w:rFonts w:ascii="Arial" w:hAnsi="Arial" w:cs="Arial"/>
          <w:sz w:val="20"/>
          <w:szCs w:val="20"/>
        </w:rPr>
      </w:pPr>
      <w:r w:rsidRPr="00BD62FC">
        <w:rPr>
          <w:rFonts w:ascii="Arial" w:hAnsi="Arial" w:cs="Arial"/>
          <w:b/>
          <w:sz w:val="20"/>
          <w:szCs w:val="20"/>
        </w:rPr>
        <w:t>b)   - dátum zápisu do obchodného registra:</w:t>
      </w:r>
      <w:r w:rsidRPr="00BD62FC">
        <w:rPr>
          <w:rFonts w:ascii="Arial" w:hAnsi="Arial" w:cs="Arial"/>
          <w:sz w:val="20"/>
          <w:szCs w:val="20"/>
        </w:rPr>
        <w:tab/>
      </w:r>
      <w:r w:rsidRPr="00BD62FC">
        <w:rPr>
          <w:rFonts w:ascii="Arial" w:hAnsi="Arial" w:cs="Arial"/>
          <w:sz w:val="20"/>
          <w:szCs w:val="20"/>
        </w:rPr>
        <w:tab/>
      </w:r>
      <w:r w:rsidRPr="00BD62FC">
        <w:rPr>
          <w:rFonts w:ascii="Arial" w:hAnsi="Arial" w:cs="Arial"/>
          <w:sz w:val="20"/>
          <w:szCs w:val="20"/>
        </w:rPr>
        <w:tab/>
      </w:r>
      <w:r w:rsidRPr="00BD62FC">
        <w:rPr>
          <w:rFonts w:ascii="Arial" w:hAnsi="Arial" w:cs="Arial"/>
          <w:sz w:val="20"/>
          <w:szCs w:val="20"/>
        </w:rPr>
        <w:tab/>
        <w:t>27. februára 1992</w:t>
      </w:r>
    </w:p>
    <w:p w14:paraId="23C5E4C6" w14:textId="77777777" w:rsidR="00C60CC2" w:rsidRPr="00BD62FC" w:rsidRDefault="00C60CC2" w:rsidP="00C60CC2">
      <w:pPr>
        <w:spacing w:line="240" w:lineRule="auto"/>
        <w:ind w:left="30"/>
        <w:rPr>
          <w:rFonts w:ascii="Arial" w:hAnsi="Arial" w:cs="Arial"/>
          <w:sz w:val="20"/>
          <w:szCs w:val="20"/>
        </w:rPr>
      </w:pPr>
      <w:r w:rsidRPr="00BD62FC">
        <w:rPr>
          <w:rFonts w:ascii="Arial" w:hAnsi="Arial" w:cs="Arial"/>
          <w:sz w:val="20"/>
          <w:szCs w:val="20"/>
        </w:rPr>
        <w:t xml:space="preserve">       - dátum udelenia bankového povolenia:</w:t>
      </w:r>
      <w:r w:rsidRPr="00BD62FC">
        <w:rPr>
          <w:rFonts w:ascii="Arial" w:hAnsi="Arial" w:cs="Arial"/>
          <w:sz w:val="20"/>
          <w:szCs w:val="20"/>
        </w:rPr>
        <w:tab/>
      </w:r>
      <w:bookmarkStart w:id="1" w:name="_GoBack"/>
      <w:bookmarkEnd w:id="1"/>
      <w:r w:rsidRPr="00BD62FC">
        <w:rPr>
          <w:rFonts w:ascii="Arial" w:hAnsi="Arial" w:cs="Arial"/>
          <w:sz w:val="20"/>
          <w:szCs w:val="20"/>
        </w:rPr>
        <w:tab/>
      </w:r>
      <w:r w:rsidRPr="00BD62FC">
        <w:rPr>
          <w:rFonts w:ascii="Arial" w:hAnsi="Arial" w:cs="Arial"/>
          <w:sz w:val="20"/>
          <w:szCs w:val="20"/>
        </w:rPr>
        <w:tab/>
      </w:r>
      <w:r w:rsidRPr="00BD62FC">
        <w:rPr>
          <w:rFonts w:ascii="Arial" w:hAnsi="Arial" w:cs="Arial"/>
          <w:sz w:val="20"/>
          <w:szCs w:val="20"/>
        </w:rPr>
        <w:tab/>
        <w:t xml:space="preserve">27. februára 1992, </w:t>
      </w:r>
    </w:p>
    <w:p w14:paraId="79E639C6" w14:textId="76834BFC" w:rsidR="00C60CC2" w:rsidRPr="00BD62FC" w:rsidRDefault="00C60CC2" w:rsidP="00C60CC2">
      <w:pPr>
        <w:spacing w:line="240" w:lineRule="auto"/>
        <w:ind w:left="5694" w:firstLine="678"/>
        <w:rPr>
          <w:rFonts w:ascii="Arial" w:hAnsi="Arial" w:cs="Arial"/>
          <w:sz w:val="20"/>
          <w:szCs w:val="20"/>
        </w:rPr>
      </w:pPr>
      <w:r w:rsidRPr="00BD62FC">
        <w:rPr>
          <w:rFonts w:ascii="Arial" w:hAnsi="Arial" w:cs="Arial"/>
          <w:sz w:val="20"/>
          <w:szCs w:val="20"/>
        </w:rPr>
        <w:t>úprava zo dňa 27.3.2008</w:t>
      </w:r>
    </w:p>
    <w:p w14:paraId="10435A77" w14:textId="77777777" w:rsidR="00C60CC2" w:rsidRPr="00BD62FC" w:rsidRDefault="00C60CC2" w:rsidP="00C60CC2">
      <w:pPr>
        <w:spacing w:line="240" w:lineRule="auto"/>
        <w:ind w:firstLine="426"/>
        <w:rPr>
          <w:rFonts w:ascii="Arial" w:hAnsi="Arial" w:cs="Arial"/>
          <w:sz w:val="20"/>
          <w:szCs w:val="20"/>
        </w:rPr>
      </w:pPr>
      <w:r w:rsidRPr="00BD62FC">
        <w:rPr>
          <w:rFonts w:ascii="Arial" w:hAnsi="Arial" w:cs="Arial"/>
          <w:sz w:val="20"/>
          <w:szCs w:val="20"/>
        </w:rPr>
        <w:t>- dátum začiatku vykonávania povolených bankových činností:</w:t>
      </w:r>
      <w:r w:rsidRPr="00BD62FC">
        <w:rPr>
          <w:rFonts w:ascii="Arial" w:hAnsi="Arial" w:cs="Arial"/>
          <w:sz w:val="20"/>
          <w:szCs w:val="20"/>
        </w:rPr>
        <w:tab/>
        <w:t xml:space="preserve">27. februára 1992, </w:t>
      </w:r>
    </w:p>
    <w:p w14:paraId="02F252B0" w14:textId="0239D762" w:rsidR="00C60CC2" w:rsidRPr="00BD62FC" w:rsidRDefault="00C60CC2" w:rsidP="00C60CC2">
      <w:pPr>
        <w:spacing w:line="240" w:lineRule="auto"/>
        <w:ind w:firstLine="6379"/>
        <w:rPr>
          <w:rFonts w:ascii="Arial" w:hAnsi="Arial" w:cs="Arial"/>
          <w:sz w:val="20"/>
          <w:szCs w:val="20"/>
        </w:rPr>
      </w:pPr>
      <w:r w:rsidRPr="00BD62FC">
        <w:rPr>
          <w:rFonts w:ascii="Arial" w:hAnsi="Arial" w:cs="Arial"/>
          <w:sz w:val="20"/>
          <w:szCs w:val="20"/>
        </w:rPr>
        <w:t>účinno</w:t>
      </w:r>
      <w:r w:rsidR="004C276C" w:rsidRPr="00BD62FC">
        <w:rPr>
          <w:rFonts w:ascii="Arial" w:hAnsi="Arial" w:cs="Arial"/>
          <w:sz w:val="20"/>
          <w:szCs w:val="20"/>
        </w:rPr>
        <w:t>s</w:t>
      </w:r>
      <w:r w:rsidRPr="00BD62FC">
        <w:rPr>
          <w:rFonts w:ascii="Arial" w:hAnsi="Arial" w:cs="Arial"/>
          <w:sz w:val="20"/>
          <w:szCs w:val="20"/>
        </w:rPr>
        <w:t>ť úpravy dňom 18.4.2008</w:t>
      </w:r>
    </w:p>
    <w:p w14:paraId="255ADA0B" w14:textId="77777777" w:rsidR="00C60CC2" w:rsidRPr="00BD62FC" w:rsidRDefault="00C60CC2" w:rsidP="00C60CC2">
      <w:pPr>
        <w:pStyle w:val="ListParagraph"/>
        <w:numPr>
          <w:ilvl w:val="0"/>
          <w:numId w:val="13"/>
        </w:numPr>
        <w:spacing w:after="0" w:line="240" w:lineRule="auto"/>
        <w:rPr>
          <w:rFonts w:ascii="Arial" w:hAnsi="Arial" w:cs="Arial"/>
          <w:b/>
          <w:sz w:val="20"/>
          <w:szCs w:val="20"/>
        </w:rPr>
      </w:pPr>
      <w:r w:rsidRPr="00BD62FC">
        <w:rPr>
          <w:rFonts w:ascii="Arial" w:hAnsi="Arial" w:cs="Arial"/>
          <w:b/>
          <w:sz w:val="20"/>
          <w:szCs w:val="20"/>
        </w:rPr>
        <w:t>zoznam činností vykonávaných podľa udeleného povolenia:</w:t>
      </w:r>
    </w:p>
    <w:p w14:paraId="296BA301" w14:textId="266F21FB" w:rsidR="00C60CC2" w:rsidRPr="00BD62FC" w:rsidRDefault="00C60CC2" w:rsidP="00C60CC2">
      <w:pPr>
        <w:pStyle w:val="BodyText"/>
        <w:spacing w:before="120" w:line="276" w:lineRule="auto"/>
        <w:ind w:left="314"/>
        <w:rPr>
          <w:rFonts w:ascii="Arial" w:hAnsi="Arial" w:cs="Arial"/>
          <w:iCs/>
          <w:sz w:val="20"/>
        </w:rPr>
      </w:pPr>
      <w:r w:rsidRPr="00BD62FC">
        <w:rPr>
          <w:rFonts w:ascii="Arial" w:hAnsi="Arial" w:cs="Arial"/>
          <w:iCs/>
          <w:sz w:val="20"/>
        </w:rPr>
        <w:t>OTP Banka Slovensko, a. s. môže v súlade s ustanoveniami § 2 ods. 1 a 2 zákona č. 483/2001 Z. z. o bankách a o zmene a doplnení niektorých zákonov v znení neskorších predpisov zákona o bankách (ďalej len „zákon o bankách“) vykonávať tieto činnosti:</w:t>
      </w:r>
    </w:p>
    <w:p w14:paraId="21592107" w14:textId="77777777" w:rsidR="00C60CC2" w:rsidRPr="00BD62FC" w:rsidRDefault="00C60CC2" w:rsidP="00C60CC2">
      <w:pPr>
        <w:pStyle w:val="BodyText"/>
        <w:spacing w:before="120"/>
        <w:ind w:left="598"/>
        <w:rPr>
          <w:rFonts w:ascii="Arial" w:hAnsi="Arial" w:cs="Arial"/>
          <w:iCs/>
          <w:sz w:val="20"/>
        </w:rPr>
      </w:pPr>
      <w:r w:rsidRPr="00BD62FC">
        <w:rPr>
          <w:rFonts w:ascii="Arial" w:hAnsi="Arial" w:cs="Arial"/>
          <w:iCs/>
          <w:sz w:val="20"/>
        </w:rPr>
        <w:t>1. prijímanie vkladov,</w:t>
      </w:r>
    </w:p>
    <w:p w14:paraId="7354BDD7" w14:textId="77777777" w:rsidR="00C60CC2" w:rsidRPr="00BD62FC" w:rsidRDefault="00C60CC2" w:rsidP="00C60CC2">
      <w:pPr>
        <w:pStyle w:val="BodyText"/>
        <w:spacing w:before="120"/>
        <w:ind w:left="598"/>
        <w:rPr>
          <w:rFonts w:ascii="Arial" w:hAnsi="Arial" w:cs="Arial"/>
          <w:iCs/>
          <w:sz w:val="20"/>
        </w:rPr>
      </w:pPr>
      <w:r w:rsidRPr="00BD62FC">
        <w:rPr>
          <w:rFonts w:ascii="Arial" w:hAnsi="Arial" w:cs="Arial"/>
          <w:iCs/>
          <w:sz w:val="20"/>
        </w:rPr>
        <w:t>2. poskytovanie úverov,</w:t>
      </w:r>
    </w:p>
    <w:p w14:paraId="1503D912" w14:textId="77777777" w:rsidR="00C60CC2" w:rsidRPr="00BD62FC" w:rsidRDefault="00C60CC2" w:rsidP="00C60CC2">
      <w:pPr>
        <w:pStyle w:val="BodyText"/>
        <w:spacing w:before="120"/>
        <w:ind w:left="851" w:hanging="253"/>
        <w:rPr>
          <w:rFonts w:ascii="Arial" w:hAnsi="Arial" w:cs="Arial"/>
          <w:iCs/>
          <w:sz w:val="20"/>
        </w:rPr>
      </w:pPr>
      <w:r w:rsidRPr="00BD62FC">
        <w:rPr>
          <w:rFonts w:ascii="Arial" w:hAnsi="Arial" w:cs="Arial"/>
          <w:iCs/>
          <w:sz w:val="20"/>
        </w:rPr>
        <w:t>3. tuzemské prevody peňažných prostriedkov a cezhraničné prevody peňažných prostriedkov  platobný styk a zúčtovanie,</w:t>
      </w:r>
    </w:p>
    <w:p w14:paraId="4FAB33AC" w14:textId="77777777" w:rsidR="00C60CC2" w:rsidRPr="00BD62FC" w:rsidRDefault="00C60CC2" w:rsidP="00C60CC2">
      <w:pPr>
        <w:pStyle w:val="BodyText"/>
        <w:spacing w:before="120" w:line="276" w:lineRule="auto"/>
        <w:ind w:left="851" w:hanging="253"/>
        <w:rPr>
          <w:rFonts w:ascii="Arial" w:hAnsi="Arial" w:cs="Arial"/>
          <w:iCs/>
          <w:sz w:val="20"/>
        </w:rPr>
      </w:pPr>
      <w:r w:rsidRPr="00BD62FC">
        <w:rPr>
          <w:rFonts w:ascii="Arial" w:hAnsi="Arial" w:cs="Arial"/>
          <w:iCs/>
          <w:sz w:val="20"/>
        </w:rPr>
        <w:t>4. poskytovanie investičných služieb, investičných  činností a vedľajších služieb podľa zákona č. 566/2001 Z. z. o cenných papieroch a investičných službách a o zmene a doplnení niektorých zákonov v znení neskorších predpisov (ďalej len „zákon o cenných papieroch“) v rozsahu uvedenom v bodoch 19.-28. a investovanie do cenných papierov na vlastný účet,</w:t>
      </w:r>
    </w:p>
    <w:p w14:paraId="75EA26CC" w14:textId="77777777" w:rsidR="00C60CC2" w:rsidRPr="00BD62FC" w:rsidRDefault="00C60CC2" w:rsidP="00C60CC2">
      <w:pPr>
        <w:spacing w:before="120"/>
        <w:ind w:left="598"/>
        <w:jc w:val="both"/>
        <w:rPr>
          <w:rFonts w:ascii="Arial" w:hAnsi="Arial" w:cs="Arial"/>
          <w:sz w:val="20"/>
          <w:szCs w:val="20"/>
        </w:rPr>
      </w:pPr>
      <w:r w:rsidRPr="00BD62FC">
        <w:rPr>
          <w:rFonts w:ascii="Arial" w:hAnsi="Arial" w:cs="Arial"/>
          <w:sz w:val="20"/>
          <w:szCs w:val="20"/>
        </w:rPr>
        <w:t xml:space="preserve">5. obchodovanie na vlastný účet </w:t>
      </w:r>
    </w:p>
    <w:p w14:paraId="32DF4DBB" w14:textId="77777777" w:rsidR="00C60CC2" w:rsidRPr="00BD62FC" w:rsidRDefault="00C60CC2" w:rsidP="00C60CC2">
      <w:pPr>
        <w:numPr>
          <w:ilvl w:val="0"/>
          <w:numId w:val="8"/>
        </w:numPr>
        <w:tabs>
          <w:tab w:val="clear" w:pos="720"/>
          <w:tab w:val="num" w:pos="1418"/>
        </w:tabs>
        <w:spacing w:after="0" w:line="240" w:lineRule="auto"/>
        <w:ind w:left="1418" w:hanging="284"/>
        <w:jc w:val="both"/>
        <w:rPr>
          <w:rFonts w:ascii="Arial" w:hAnsi="Arial" w:cs="Arial"/>
          <w:sz w:val="20"/>
          <w:szCs w:val="20"/>
        </w:rPr>
      </w:pPr>
      <w:r w:rsidRPr="00BD62FC">
        <w:rPr>
          <w:rFonts w:ascii="Arial" w:hAnsi="Arial" w:cs="Arial"/>
          <w:sz w:val="20"/>
          <w:szCs w:val="20"/>
        </w:rPr>
        <w:t>s finančnými nástrojmi peňažného trhu v eurách a v cudzej  mene, so zlatom vrátane zmenárenskej činnosti,</w:t>
      </w:r>
    </w:p>
    <w:p w14:paraId="3BB5CEE2" w14:textId="77777777" w:rsidR="00C60CC2" w:rsidRPr="00BD62FC" w:rsidRDefault="00C60CC2" w:rsidP="00C60CC2">
      <w:pPr>
        <w:numPr>
          <w:ilvl w:val="0"/>
          <w:numId w:val="8"/>
        </w:numPr>
        <w:tabs>
          <w:tab w:val="clear" w:pos="720"/>
          <w:tab w:val="num" w:pos="1134"/>
        </w:tabs>
        <w:spacing w:before="120" w:after="0" w:line="240" w:lineRule="auto"/>
        <w:ind w:left="1034" w:firstLine="100"/>
        <w:jc w:val="both"/>
        <w:rPr>
          <w:rFonts w:ascii="Arial" w:hAnsi="Arial" w:cs="Arial"/>
          <w:sz w:val="20"/>
          <w:szCs w:val="20"/>
        </w:rPr>
      </w:pPr>
      <w:r w:rsidRPr="00BD62FC">
        <w:rPr>
          <w:rFonts w:ascii="Arial" w:hAnsi="Arial" w:cs="Arial"/>
          <w:sz w:val="20"/>
          <w:szCs w:val="20"/>
        </w:rPr>
        <w:t xml:space="preserve"> s finančnými nástrojmi kapitálového trhu v eurách a v cudzej mene,</w:t>
      </w:r>
    </w:p>
    <w:p w14:paraId="48CE86AC" w14:textId="77777777" w:rsidR="00C60CC2" w:rsidRPr="00BD62FC" w:rsidRDefault="00C60CC2" w:rsidP="00C60CC2">
      <w:pPr>
        <w:numPr>
          <w:ilvl w:val="0"/>
          <w:numId w:val="8"/>
        </w:numPr>
        <w:spacing w:before="120" w:after="0"/>
        <w:ind w:left="1418" w:hanging="284"/>
        <w:jc w:val="both"/>
        <w:rPr>
          <w:rFonts w:ascii="Arial" w:hAnsi="Arial" w:cs="Arial"/>
          <w:sz w:val="20"/>
          <w:szCs w:val="20"/>
        </w:rPr>
      </w:pPr>
      <w:r w:rsidRPr="00BD62FC">
        <w:rPr>
          <w:rFonts w:ascii="Arial" w:hAnsi="Arial" w:cs="Arial"/>
          <w:sz w:val="20"/>
          <w:szCs w:val="20"/>
        </w:rPr>
        <w:t xml:space="preserve">s mincami z drahých kovov, pamätnými bankovkami a pamätnými mincami, zberateľskými mincami,  hárkami bankoviek a súbormi obehových mincí, </w:t>
      </w:r>
    </w:p>
    <w:p w14:paraId="361154C5" w14:textId="77777777" w:rsidR="00C60CC2" w:rsidRPr="00BD62FC" w:rsidRDefault="00C60CC2" w:rsidP="00C60CC2">
      <w:pPr>
        <w:spacing w:before="120" w:line="240" w:lineRule="auto"/>
        <w:ind w:left="740"/>
        <w:jc w:val="both"/>
        <w:rPr>
          <w:rFonts w:ascii="Arial" w:hAnsi="Arial" w:cs="Arial"/>
          <w:sz w:val="20"/>
          <w:szCs w:val="20"/>
        </w:rPr>
      </w:pPr>
      <w:r w:rsidRPr="00BD62FC">
        <w:rPr>
          <w:rFonts w:ascii="Arial" w:hAnsi="Arial" w:cs="Arial"/>
          <w:sz w:val="20"/>
          <w:szCs w:val="20"/>
        </w:rPr>
        <w:t>6. správu pohľadávok klienta na jeho účet vrátane súvisiaceho poradenstva,</w:t>
      </w:r>
    </w:p>
    <w:p w14:paraId="51EDCCB4" w14:textId="77777777" w:rsidR="00C60CC2" w:rsidRPr="00BD62FC" w:rsidRDefault="00C60CC2" w:rsidP="00C60CC2">
      <w:pPr>
        <w:spacing w:before="120" w:line="240" w:lineRule="auto"/>
        <w:ind w:left="740"/>
        <w:jc w:val="both"/>
        <w:rPr>
          <w:rFonts w:ascii="Arial" w:hAnsi="Arial" w:cs="Arial"/>
          <w:sz w:val="20"/>
          <w:szCs w:val="20"/>
        </w:rPr>
      </w:pPr>
      <w:r w:rsidRPr="00BD62FC">
        <w:rPr>
          <w:rFonts w:ascii="Arial" w:hAnsi="Arial" w:cs="Arial"/>
          <w:sz w:val="20"/>
          <w:szCs w:val="20"/>
        </w:rPr>
        <w:lastRenderedPageBreak/>
        <w:t>7. finančný lízing,</w:t>
      </w:r>
    </w:p>
    <w:p w14:paraId="2AD2E5A4" w14:textId="77777777" w:rsidR="00C60CC2" w:rsidRPr="00BD62FC" w:rsidRDefault="00C60CC2" w:rsidP="00AB1CE0">
      <w:pPr>
        <w:spacing w:before="120" w:line="240" w:lineRule="auto"/>
        <w:ind w:left="740"/>
        <w:jc w:val="both"/>
        <w:rPr>
          <w:rFonts w:ascii="Arial" w:hAnsi="Arial" w:cs="Arial"/>
          <w:sz w:val="20"/>
          <w:szCs w:val="20"/>
        </w:rPr>
      </w:pPr>
      <w:r w:rsidRPr="00BD62FC">
        <w:rPr>
          <w:rFonts w:ascii="Arial" w:hAnsi="Arial" w:cs="Arial"/>
          <w:sz w:val="20"/>
          <w:szCs w:val="20"/>
        </w:rPr>
        <w:t>8. poskytovanie záruk, otváranie a potvrdzovanie akreditívov,</w:t>
      </w:r>
    </w:p>
    <w:p w14:paraId="77C08CA8" w14:textId="77777777" w:rsidR="00C60CC2" w:rsidRPr="00BD62FC" w:rsidRDefault="00C60CC2" w:rsidP="00AB1CE0">
      <w:pPr>
        <w:spacing w:before="120" w:line="240" w:lineRule="auto"/>
        <w:ind w:left="740"/>
        <w:jc w:val="both"/>
        <w:rPr>
          <w:rFonts w:ascii="Arial" w:hAnsi="Arial" w:cs="Arial"/>
          <w:sz w:val="20"/>
          <w:szCs w:val="20"/>
        </w:rPr>
      </w:pPr>
      <w:r w:rsidRPr="00BD62FC">
        <w:rPr>
          <w:rFonts w:ascii="Arial" w:hAnsi="Arial" w:cs="Arial"/>
          <w:sz w:val="20"/>
          <w:szCs w:val="20"/>
        </w:rPr>
        <w:t xml:space="preserve">9. vydávanie a správa elektronických peňazí, </w:t>
      </w:r>
    </w:p>
    <w:p w14:paraId="30E0FF32" w14:textId="77777777" w:rsidR="00C60CC2" w:rsidRPr="00BD62FC" w:rsidRDefault="00C60CC2" w:rsidP="00AB1CE0">
      <w:pPr>
        <w:spacing w:before="120" w:line="240" w:lineRule="auto"/>
        <w:ind w:left="740"/>
        <w:jc w:val="both"/>
        <w:rPr>
          <w:rFonts w:ascii="Arial" w:hAnsi="Arial" w:cs="Arial"/>
          <w:sz w:val="20"/>
          <w:szCs w:val="20"/>
        </w:rPr>
      </w:pPr>
      <w:r w:rsidRPr="00BD62FC">
        <w:rPr>
          <w:rFonts w:ascii="Arial" w:hAnsi="Arial" w:cs="Arial"/>
          <w:sz w:val="20"/>
          <w:szCs w:val="20"/>
        </w:rPr>
        <w:t xml:space="preserve">10. poskytovanie poradenských služieb v oblasti podnikania, </w:t>
      </w:r>
    </w:p>
    <w:p w14:paraId="42AAE5E0" w14:textId="77777777" w:rsidR="00C60CC2" w:rsidRPr="00BD62FC" w:rsidRDefault="00C60CC2" w:rsidP="00AB1CE0">
      <w:pPr>
        <w:pStyle w:val="BodyTextIndent2"/>
        <w:spacing w:before="120"/>
        <w:ind w:left="1134" w:hanging="394"/>
        <w:rPr>
          <w:rFonts w:ascii="Arial" w:hAnsi="Arial" w:cs="Arial"/>
          <w:sz w:val="20"/>
        </w:rPr>
      </w:pPr>
      <w:r w:rsidRPr="00BD62FC">
        <w:rPr>
          <w:rFonts w:ascii="Arial" w:hAnsi="Arial" w:cs="Arial"/>
          <w:sz w:val="20"/>
        </w:rPr>
        <w:t>11. vydávanie cenných papierov, účasť na vydávaní cenných papierov a poskytovanie súvisiacich služieb,</w:t>
      </w:r>
    </w:p>
    <w:p w14:paraId="31418B82" w14:textId="77777777" w:rsidR="00C60CC2" w:rsidRPr="00BD62FC" w:rsidRDefault="00C60CC2" w:rsidP="00AB1CE0">
      <w:pPr>
        <w:pStyle w:val="BodyTextIndent2"/>
        <w:spacing w:before="120"/>
        <w:ind w:left="740" w:firstLine="0"/>
        <w:rPr>
          <w:rFonts w:ascii="Arial" w:hAnsi="Arial" w:cs="Arial"/>
          <w:sz w:val="20"/>
        </w:rPr>
      </w:pPr>
      <w:r w:rsidRPr="00BD62FC">
        <w:rPr>
          <w:rFonts w:ascii="Arial" w:hAnsi="Arial" w:cs="Arial"/>
          <w:sz w:val="20"/>
        </w:rPr>
        <w:t>12. finančné sprostredkovanie,</w:t>
      </w:r>
    </w:p>
    <w:p w14:paraId="3A91B87E" w14:textId="77777777" w:rsidR="00C60CC2" w:rsidRPr="00BD62FC" w:rsidRDefault="00C60CC2" w:rsidP="00AB1CE0">
      <w:pPr>
        <w:spacing w:before="120" w:line="240" w:lineRule="auto"/>
        <w:ind w:left="740"/>
        <w:jc w:val="both"/>
        <w:rPr>
          <w:rFonts w:ascii="Arial" w:hAnsi="Arial" w:cs="Arial"/>
          <w:sz w:val="20"/>
          <w:szCs w:val="20"/>
        </w:rPr>
      </w:pPr>
      <w:r w:rsidRPr="00BD62FC">
        <w:rPr>
          <w:rFonts w:ascii="Arial" w:hAnsi="Arial" w:cs="Arial"/>
          <w:sz w:val="20"/>
          <w:szCs w:val="20"/>
        </w:rPr>
        <w:t>13. uloženie vecí,</w:t>
      </w:r>
    </w:p>
    <w:p w14:paraId="035F9172" w14:textId="77777777" w:rsidR="00C60CC2" w:rsidRPr="00BD62FC" w:rsidRDefault="00C60CC2" w:rsidP="00AB1CE0">
      <w:pPr>
        <w:spacing w:before="120" w:line="240" w:lineRule="auto"/>
        <w:ind w:left="740"/>
        <w:jc w:val="both"/>
        <w:rPr>
          <w:rFonts w:ascii="Arial" w:hAnsi="Arial" w:cs="Arial"/>
          <w:sz w:val="20"/>
          <w:szCs w:val="20"/>
        </w:rPr>
      </w:pPr>
      <w:r w:rsidRPr="00BD62FC">
        <w:rPr>
          <w:rFonts w:ascii="Arial" w:hAnsi="Arial" w:cs="Arial"/>
          <w:sz w:val="20"/>
          <w:szCs w:val="20"/>
        </w:rPr>
        <w:t>14.  prenájom bezpečnostných schránok,</w:t>
      </w:r>
    </w:p>
    <w:p w14:paraId="045B6376" w14:textId="77777777" w:rsidR="00C60CC2" w:rsidRPr="00BD62FC" w:rsidRDefault="00C60CC2" w:rsidP="00AB1CE0">
      <w:pPr>
        <w:tabs>
          <w:tab w:val="num" w:pos="411"/>
        </w:tabs>
        <w:spacing w:after="0" w:line="240" w:lineRule="auto"/>
        <w:ind w:left="314" w:firstLine="395"/>
        <w:rPr>
          <w:rFonts w:ascii="Arial" w:hAnsi="Arial" w:cs="Arial"/>
          <w:sz w:val="20"/>
          <w:szCs w:val="20"/>
        </w:rPr>
      </w:pPr>
      <w:r w:rsidRPr="00BD62FC">
        <w:rPr>
          <w:rFonts w:ascii="Arial" w:hAnsi="Arial" w:cs="Arial"/>
          <w:sz w:val="20"/>
          <w:szCs w:val="20"/>
        </w:rPr>
        <w:t>15. poskytovanie bankových informácií,</w:t>
      </w:r>
    </w:p>
    <w:p w14:paraId="391FAFC9" w14:textId="4F4209AB" w:rsidR="00C60CC2" w:rsidRPr="00BD62FC" w:rsidRDefault="00984DBF" w:rsidP="00AB1CE0">
      <w:pPr>
        <w:tabs>
          <w:tab w:val="left" w:pos="426"/>
        </w:tabs>
        <w:spacing w:before="120" w:line="240" w:lineRule="auto"/>
        <w:ind w:left="674"/>
        <w:jc w:val="both"/>
        <w:rPr>
          <w:rFonts w:ascii="Arial" w:hAnsi="Arial" w:cs="Arial"/>
          <w:bCs/>
          <w:sz w:val="20"/>
          <w:szCs w:val="20"/>
        </w:rPr>
      </w:pPr>
      <w:r w:rsidRPr="00BD62FC">
        <w:rPr>
          <w:rFonts w:ascii="Arial" w:hAnsi="Arial" w:cs="Arial"/>
          <w:sz w:val="20"/>
          <w:szCs w:val="20"/>
        </w:rPr>
        <w:tab/>
      </w:r>
      <w:r w:rsidR="00C60CC2" w:rsidRPr="00BD62FC">
        <w:rPr>
          <w:rFonts w:ascii="Arial" w:hAnsi="Arial" w:cs="Arial"/>
          <w:sz w:val="20"/>
          <w:szCs w:val="20"/>
        </w:rPr>
        <w:t>1</w:t>
      </w:r>
      <w:r w:rsidR="00A675BB" w:rsidRPr="00BD62FC">
        <w:rPr>
          <w:rFonts w:ascii="Arial" w:hAnsi="Arial" w:cs="Arial"/>
          <w:sz w:val="20"/>
          <w:szCs w:val="20"/>
        </w:rPr>
        <w:t>6</w:t>
      </w:r>
      <w:r w:rsidR="00C60CC2" w:rsidRPr="00BD62FC">
        <w:rPr>
          <w:rFonts w:ascii="Arial" w:hAnsi="Arial" w:cs="Arial"/>
          <w:sz w:val="20"/>
          <w:szCs w:val="20"/>
        </w:rPr>
        <w:t>. funkciu depozitára,</w:t>
      </w:r>
    </w:p>
    <w:p w14:paraId="0FA7972D" w14:textId="6DDD0209" w:rsidR="00C60CC2" w:rsidRPr="00BD62FC" w:rsidRDefault="00984DBF" w:rsidP="00AB1CE0">
      <w:pPr>
        <w:tabs>
          <w:tab w:val="left" w:pos="426"/>
        </w:tabs>
        <w:spacing w:before="120" w:line="240" w:lineRule="auto"/>
        <w:ind w:left="674"/>
        <w:jc w:val="both"/>
        <w:rPr>
          <w:rFonts w:ascii="Arial" w:hAnsi="Arial" w:cs="Arial"/>
          <w:sz w:val="20"/>
          <w:szCs w:val="20"/>
        </w:rPr>
      </w:pPr>
      <w:r w:rsidRPr="00BD62FC">
        <w:rPr>
          <w:rFonts w:ascii="Arial" w:hAnsi="Arial" w:cs="Arial"/>
          <w:sz w:val="20"/>
          <w:szCs w:val="20"/>
        </w:rPr>
        <w:tab/>
      </w:r>
      <w:r w:rsidR="00C60CC2" w:rsidRPr="00BD62FC">
        <w:rPr>
          <w:rFonts w:ascii="Arial" w:hAnsi="Arial" w:cs="Arial"/>
          <w:sz w:val="20"/>
          <w:szCs w:val="20"/>
        </w:rPr>
        <w:t>1</w:t>
      </w:r>
      <w:r w:rsidR="00A675BB" w:rsidRPr="00BD62FC">
        <w:rPr>
          <w:rFonts w:ascii="Arial" w:hAnsi="Arial" w:cs="Arial"/>
          <w:sz w:val="20"/>
          <w:szCs w:val="20"/>
        </w:rPr>
        <w:t>7</w:t>
      </w:r>
      <w:r w:rsidR="00C60CC2" w:rsidRPr="00BD62FC">
        <w:rPr>
          <w:rFonts w:ascii="Arial" w:hAnsi="Arial" w:cs="Arial"/>
          <w:sz w:val="20"/>
          <w:szCs w:val="20"/>
        </w:rPr>
        <w:t>. spracúvanie bankoviek, mincí, pamätných bankoviek a pamätných mincí.</w:t>
      </w:r>
    </w:p>
    <w:p w14:paraId="2B5F5511" w14:textId="77777777" w:rsidR="00C60CC2" w:rsidRPr="00BD62FC" w:rsidRDefault="00C60CC2" w:rsidP="00AB1CE0">
      <w:pPr>
        <w:pStyle w:val="BodyText"/>
        <w:spacing w:before="120" w:line="276" w:lineRule="auto"/>
        <w:ind w:left="314"/>
        <w:rPr>
          <w:rFonts w:ascii="Arial" w:hAnsi="Arial" w:cs="Arial"/>
          <w:iCs/>
          <w:sz w:val="20"/>
        </w:rPr>
      </w:pPr>
      <w:r w:rsidRPr="00BD62FC">
        <w:rPr>
          <w:rFonts w:ascii="Arial" w:hAnsi="Arial" w:cs="Arial"/>
          <w:iCs/>
          <w:sz w:val="20"/>
        </w:rPr>
        <w:t>OTP Banka Slovensko, a. s. je oprávnená na poskytovanie investičných služieb, investičných  činností a vedľajších služieb v súlade s ustanovením § 79a ods. 1 a v spojení s ustanovením § 6 ods. 1 a 2 zákona o cenných papieroch v tomto rozsahu:</w:t>
      </w:r>
    </w:p>
    <w:p w14:paraId="034F3E1A" w14:textId="3A0614F6" w:rsidR="00C60CC2" w:rsidRPr="00BD62FC" w:rsidRDefault="00C60CC2" w:rsidP="00AB1CE0">
      <w:pPr>
        <w:pStyle w:val="BodyText"/>
        <w:spacing w:before="120" w:line="276" w:lineRule="auto"/>
        <w:ind w:left="1134" w:hanging="394"/>
        <w:rPr>
          <w:rFonts w:ascii="Arial" w:hAnsi="Arial" w:cs="Arial"/>
          <w:iCs/>
          <w:sz w:val="20"/>
        </w:rPr>
      </w:pPr>
      <w:r w:rsidRPr="00BD62FC">
        <w:rPr>
          <w:rFonts w:ascii="Arial" w:hAnsi="Arial" w:cs="Arial"/>
          <w:iCs/>
          <w:sz w:val="20"/>
        </w:rPr>
        <w:t>1</w:t>
      </w:r>
      <w:r w:rsidR="00A675BB" w:rsidRPr="00BD62FC">
        <w:rPr>
          <w:rFonts w:ascii="Arial" w:hAnsi="Arial" w:cs="Arial"/>
          <w:iCs/>
          <w:sz w:val="20"/>
        </w:rPr>
        <w:t>8</w:t>
      </w:r>
      <w:r w:rsidRPr="00BD62FC">
        <w:rPr>
          <w:rFonts w:ascii="Arial" w:hAnsi="Arial" w:cs="Arial"/>
          <w:iCs/>
          <w:sz w:val="20"/>
        </w:rPr>
        <w:t>. prijatie a postúpenie pokynu klienta týkajúceho sa jedného alebo viacerých finančných nástrojov vo vzťahu   k finančným nástrojom:</w:t>
      </w:r>
    </w:p>
    <w:p w14:paraId="120E2585" w14:textId="77777777" w:rsidR="00C60CC2" w:rsidRPr="00BD62FC" w:rsidRDefault="00C60CC2" w:rsidP="00AB1CE0">
      <w:pPr>
        <w:pStyle w:val="BodyText"/>
        <w:numPr>
          <w:ilvl w:val="0"/>
          <w:numId w:val="9"/>
        </w:numPr>
        <w:tabs>
          <w:tab w:val="clear" w:pos="643"/>
          <w:tab w:val="num" w:pos="957"/>
        </w:tabs>
        <w:spacing w:before="120"/>
        <w:ind w:left="994" w:firstLine="140"/>
        <w:rPr>
          <w:rFonts w:ascii="Arial" w:hAnsi="Arial" w:cs="Arial"/>
          <w:iCs/>
          <w:sz w:val="20"/>
        </w:rPr>
      </w:pPr>
      <w:r w:rsidRPr="00BD62FC">
        <w:rPr>
          <w:rFonts w:ascii="Arial" w:hAnsi="Arial" w:cs="Arial"/>
          <w:iCs/>
          <w:sz w:val="20"/>
        </w:rPr>
        <w:t>prevoditeľné cenné papiere,</w:t>
      </w:r>
    </w:p>
    <w:p w14:paraId="43C20A07" w14:textId="77777777" w:rsidR="00C60CC2" w:rsidRPr="00BD62FC" w:rsidRDefault="00C60CC2" w:rsidP="00AB1CE0">
      <w:pPr>
        <w:pStyle w:val="BodyText"/>
        <w:numPr>
          <w:ilvl w:val="0"/>
          <w:numId w:val="9"/>
        </w:numPr>
        <w:tabs>
          <w:tab w:val="clear" w:pos="643"/>
          <w:tab w:val="num" w:pos="957"/>
        </w:tabs>
        <w:spacing w:before="120"/>
        <w:ind w:left="994" w:firstLine="140"/>
        <w:rPr>
          <w:rFonts w:ascii="Arial" w:hAnsi="Arial" w:cs="Arial"/>
          <w:iCs/>
          <w:sz w:val="20"/>
        </w:rPr>
      </w:pPr>
      <w:r w:rsidRPr="00BD62FC">
        <w:rPr>
          <w:rFonts w:ascii="Arial" w:hAnsi="Arial" w:cs="Arial"/>
          <w:iCs/>
          <w:sz w:val="20"/>
        </w:rPr>
        <w:t>nástroje peňažného trhu,</w:t>
      </w:r>
    </w:p>
    <w:p w14:paraId="06078D8E" w14:textId="77777777" w:rsidR="00C60CC2" w:rsidRPr="00BD62FC" w:rsidRDefault="00C60CC2" w:rsidP="00AB1CE0">
      <w:pPr>
        <w:pStyle w:val="BodyText"/>
        <w:numPr>
          <w:ilvl w:val="0"/>
          <w:numId w:val="9"/>
        </w:numPr>
        <w:tabs>
          <w:tab w:val="clear" w:pos="643"/>
          <w:tab w:val="num" w:pos="1418"/>
        </w:tabs>
        <w:spacing w:before="120"/>
        <w:ind w:left="1418" w:hanging="284"/>
        <w:rPr>
          <w:rFonts w:ascii="Arial" w:hAnsi="Arial" w:cs="Arial"/>
          <w:iCs/>
          <w:sz w:val="20"/>
        </w:rPr>
      </w:pPr>
      <w:r w:rsidRPr="00BD62FC">
        <w:rPr>
          <w:rFonts w:ascii="Arial" w:hAnsi="Arial" w:cs="Arial"/>
          <w:iCs/>
          <w:sz w:val="20"/>
        </w:rPr>
        <w:t>podielové listy alebo cenné papiere vydané zahraničnými subjektmi kolektívneho investovania,</w:t>
      </w:r>
    </w:p>
    <w:p w14:paraId="6ACE4059" w14:textId="77777777" w:rsidR="00C60CC2" w:rsidRPr="00BD62FC" w:rsidRDefault="00C60CC2" w:rsidP="00AB1CE0">
      <w:pPr>
        <w:pStyle w:val="BodyText"/>
        <w:numPr>
          <w:ilvl w:val="0"/>
          <w:numId w:val="9"/>
        </w:numPr>
        <w:spacing w:before="120"/>
        <w:ind w:left="1418" w:hanging="284"/>
        <w:rPr>
          <w:rFonts w:ascii="Arial" w:hAnsi="Arial" w:cs="Arial"/>
          <w:iCs/>
          <w:sz w:val="20"/>
        </w:rPr>
      </w:pPr>
      <w:r w:rsidRPr="00BD62FC">
        <w:rPr>
          <w:rFonts w:ascii="Arial" w:hAnsi="Arial" w:cs="Arial"/>
          <w:iCs/>
          <w:sz w:val="20"/>
        </w:rPr>
        <w:t>swapy, týkajúce sa  úrokových mier alebo výnosov, ktoré môžu byť vyrovnané doručením alebo    v hotovosti,</w:t>
      </w:r>
    </w:p>
    <w:p w14:paraId="05878647" w14:textId="15141C53" w:rsidR="00C60CC2" w:rsidRPr="00BD62FC" w:rsidRDefault="00A675BB" w:rsidP="00AB1CE0">
      <w:pPr>
        <w:pStyle w:val="BodyText"/>
        <w:spacing w:before="120"/>
        <w:ind w:left="709" w:hanging="1"/>
        <w:rPr>
          <w:rFonts w:ascii="Arial" w:hAnsi="Arial" w:cs="Arial"/>
          <w:iCs/>
          <w:sz w:val="20"/>
        </w:rPr>
      </w:pPr>
      <w:r w:rsidRPr="00BD62FC">
        <w:rPr>
          <w:rFonts w:ascii="Arial" w:hAnsi="Arial" w:cs="Arial"/>
          <w:iCs/>
          <w:sz w:val="20"/>
        </w:rPr>
        <w:t>19</w:t>
      </w:r>
      <w:r w:rsidR="00C60CC2" w:rsidRPr="00BD62FC">
        <w:rPr>
          <w:rFonts w:ascii="Arial" w:hAnsi="Arial" w:cs="Arial"/>
          <w:iCs/>
          <w:sz w:val="20"/>
        </w:rPr>
        <w:t>. vykonanie pokynu klienta na jeho účet vo vzťahu k finančným nástrojom:</w:t>
      </w:r>
    </w:p>
    <w:p w14:paraId="3B3713A8" w14:textId="77777777" w:rsidR="00C60CC2" w:rsidRPr="00BD62FC" w:rsidRDefault="00C60CC2" w:rsidP="00AB1CE0">
      <w:pPr>
        <w:pStyle w:val="BodyText"/>
        <w:numPr>
          <w:ilvl w:val="0"/>
          <w:numId w:val="10"/>
        </w:numPr>
        <w:tabs>
          <w:tab w:val="clear" w:pos="643"/>
          <w:tab w:val="num" w:pos="957"/>
        </w:tabs>
        <w:spacing w:before="120"/>
        <w:ind w:left="957" w:firstLine="177"/>
        <w:rPr>
          <w:rFonts w:ascii="Arial" w:hAnsi="Arial" w:cs="Arial"/>
          <w:iCs/>
          <w:sz w:val="20"/>
        </w:rPr>
      </w:pPr>
      <w:r w:rsidRPr="00BD62FC">
        <w:rPr>
          <w:rFonts w:ascii="Arial" w:hAnsi="Arial" w:cs="Arial"/>
          <w:iCs/>
          <w:sz w:val="20"/>
        </w:rPr>
        <w:t>prevoditeľné cenné papiere,</w:t>
      </w:r>
    </w:p>
    <w:p w14:paraId="4AF9E0E8" w14:textId="77777777" w:rsidR="00C60CC2" w:rsidRPr="00BD62FC" w:rsidRDefault="00C60CC2" w:rsidP="00AB1CE0">
      <w:pPr>
        <w:pStyle w:val="BodyText"/>
        <w:numPr>
          <w:ilvl w:val="0"/>
          <w:numId w:val="10"/>
        </w:numPr>
        <w:tabs>
          <w:tab w:val="clear" w:pos="643"/>
          <w:tab w:val="num" w:pos="957"/>
        </w:tabs>
        <w:spacing w:before="120"/>
        <w:ind w:left="957" w:firstLine="177"/>
        <w:rPr>
          <w:rFonts w:ascii="Arial" w:hAnsi="Arial" w:cs="Arial"/>
          <w:iCs/>
          <w:sz w:val="20"/>
        </w:rPr>
      </w:pPr>
      <w:r w:rsidRPr="00BD62FC">
        <w:rPr>
          <w:rFonts w:ascii="Arial" w:hAnsi="Arial" w:cs="Arial"/>
          <w:iCs/>
          <w:sz w:val="20"/>
        </w:rPr>
        <w:t>nástroje peňažného trhu,</w:t>
      </w:r>
    </w:p>
    <w:p w14:paraId="6F360C0E" w14:textId="77777777" w:rsidR="00C60CC2" w:rsidRPr="00BD62FC" w:rsidRDefault="00C60CC2" w:rsidP="00AB1CE0">
      <w:pPr>
        <w:pStyle w:val="BodyText"/>
        <w:numPr>
          <w:ilvl w:val="0"/>
          <w:numId w:val="10"/>
        </w:numPr>
        <w:tabs>
          <w:tab w:val="clear" w:pos="643"/>
          <w:tab w:val="num" w:pos="1418"/>
        </w:tabs>
        <w:spacing w:before="120"/>
        <w:ind w:left="1418" w:hanging="284"/>
        <w:rPr>
          <w:rFonts w:ascii="Arial" w:hAnsi="Arial" w:cs="Arial"/>
          <w:iCs/>
          <w:sz w:val="20"/>
        </w:rPr>
      </w:pPr>
      <w:r w:rsidRPr="00BD62FC">
        <w:rPr>
          <w:rFonts w:ascii="Arial" w:hAnsi="Arial" w:cs="Arial"/>
          <w:iCs/>
          <w:sz w:val="20"/>
        </w:rPr>
        <w:t>podielové listy alebo cenné papiere vydané zahraničnými subjektmi kolektívneho investovania,</w:t>
      </w:r>
    </w:p>
    <w:p w14:paraId="077964E2" w14:textId="77777777" w:rsidR="00C60CC2" w:rsidRPr="00BD62FC" w:rsidRDefault="00C60CC2" w:rsidP="00AB1CE0">
      <w:pPr>
        <w:pStyle w:val="BodyText"/>
        <w:numPr>
          <w:ilvl w:val="0"/>
          <w:numId w:val="10"/>
        </w:numPr>
        <w:tabs>
          <w:tab w:val="clear" w:pos="643"/>
          <w:tab w:val="num" w:pos="1418"/>
        </w:tabs>
        <w:spacing w:before="120"/>
        <w:ind w:left="1418" w:hanging="284"/>
        <w:rPr>
          <w:rFonts w:ascii="Arial" w:hAnsi="Arial" w:cs="Arial"/>
          <w:iCs/>
          <w:sz w:val="20"/>
        </w:rPr>
      </w:pPr>
      <w:r w:rsidRPr="00BD62FC">
        <w:rPr>
          <w:rFonts w:ascii="Arial" w:hAnsi="Arial" w:cs="Arial"/>
          <w:iCs/>
          <w:sz w:val="20"/>
        </w:rPr>
        <w:t>swapy, týkajúce sa  úrokových mier alebo výnosov, ktoré môžu byť vyrovnané doručením alebo v hotovosti,</w:t>
      </w:r>
    </w:p>
    <w:p w14:paraId="571FE5E0" w14:textId="49222649" w:rsidR="00C60CC2" w:rsidRPr="00BD62FC" w:rsidRDefault="00C60CC2" w:rsidP="00AB1CE0">
      <w:pPr>
        <w:pStyle w:val="BodyText"/>
        <w:spacing w:before="120"/>
        <w:ind w:left="314" w:firstLine="394"/>
        <w:rPr>
          <w:rFonts w:ascii="Arial" w:hAnsi="Arial" w:cs="Arial"/>
          <w:iCs/>
          <w:sz w:val="20"/>
        </w:rPr>
      </w:pPr>
      <w:r w:rsidRPr="00BD62FC">
        <w:rPr>
          <w:rFonts w:ascii="Arial" w:hAnsi="Arial" w:cs="Arial"/>
          <w:iCs/>
          <w:sz w:val="20"/>
        </w:rPr>
        <w:t>2</w:t>
      </w:r>
      <w:r w:rsidR="00A675BB" w:rsidRPr="00BD62FC">
        <w:rPr>
          <w:rFonts w:ascii="Arial" w:hAnsi="Arial" w:cs="Arial"/>
          <w:iCs/>
          <w:sz w:val="20"/>
        </w:rPr>
        <w:t>0</w:t>
      </w:r>
      <w:r w:rsidRPr="00BD62FC">
        <w:rPr>
          <w:rFonts w:ascii="Arial" w:hAnsi="Arial" w:cs="Arial"/>
          <w:iCs/>
          <w:sz w:val="20"/>
        </w:rPr>
        <w:t>. obchodovanie na vlastný účet vo vzťahu k finančným nástrojom:</w:t>
      </w:r>
    </w:p>
    <w:p w14:paraId="7DC2AFEB" w14:textId="77777777" w:rsidR="00C60CC2" w:rsidRPr="00BD62FC" w:rsidRDefault="00C60CC2" w:rsidP="00AB1CE0">
      <w:pPr>
        <w:pStyle w:val="BodyText"/>
        <w:numPr>
          <w:ilvl w:val="1"/>
          <w:numId w:val="10"/>
        </w:numPr>
        <w:spacing w:before="120"/>
        <w:ind w:left="1134" w:firstLine="0"/>
        <w:rPr>
          <w:rFonts w:ascii="Arial" w:hAnsi="Arial" w:cs="Arial"/>
          <w:iCs/>
          <w:sz w:val="20"/>
        </w:rPr>
      </w:pPr>
      <w:r w:rsidRPr="00BD62FC">
        <w:rPr>
          <w:rFonts w:ascii="Arial" w:hAnsi="Arial" w:cs="Arial"/>
          <w:iCs/>
          <w:sz w:val="20"/>
        </w:rPr>
        <w:t>prevoditeľné cenné papiere,</w:t>
      </w:r>
    </w:p>
    <w:p w14:paraId="30E3B9A4" w14:textId="77777777" w:rsidR="00C60CC2" w:rsidRPr="00BD62FC" w:rsidRDefault="00C60CC2" w:rsidP="00AB1CE0">
      <w:pPr>
        <w:pStyle w:val="BodyText"/>
        <w:numPr>
          <w:ilvl w:val="1"/>
          <w:numId w:val="10"/>
        </w:numPr>
        <w:spacing w:before="120"/>
        <w:ind w:left="1023" w:firstLine="111"/>
        <w:rPr>
          <w:rFonts w:ascii="Arial" w:hAnsi="Arial" w:cs="Arial"/>
          <w:iCs/>
          <w:sz w:val="20"/>
        </w:rPr>
      </w:pPr>
      <w:r w:rsidRPr="00BD62FC">
        <w:rPr>
          <w:rFonts w:ascii="Arial" w:hAnsi="Arial" w:cs="Arial"/>
          <w:iCs/>
          <w:sz w:val="20"/>
        </w:rPr>
        <w:t>nástroje peňažného trhu,</w:t>
      </w:r>
    </w:p>
    <w:p w14:paraId="2B559861" w14:textId="77777777" w:rsidR="00C60CC2" w:rsidRPr="00BD62FC" w:rsidRDefault="00C60CC2" w:rsidP="00AB1CE0">
      <w:pPr>
        <w:pStyle w:val="BodyText"/>
        <w:numPr>
          <w:ilvl w:val="1"/>
          <w:numId w:val="10"/>
        </w:numPr>
        <w:spacing w:before="120"/>
        <w:ind w:left="1418" w:hanging="284"/>
        <w:rPr>
          <w:rFonts w:ascii="Arial" w:hAnsi="Arial" w:cs="Arial"/>
          <w:iCs/>
          <w:sz w:val="20"/>
        </w:rPr>
      </w:pPr>
      <w:r w:rsidRPr="00BD62FC">
        <w:rPr>
          <w:rFonts w:ascii="Arial" w:hAnsi="Arial" w:cs="Arial"/>
          <w:iCs/>
          <w:sz w:val="20"/>
        </w:rPr>
        <w:t>podielové listy alebo cenné papiere vydané zahraničnými subjektmi kolektívneho investovania,</w:t>
      </w:r>
    </w:p>
    <w:p w14:paraId="0DC385E0" w14:textId="77777777" w:rsidR="00C60CC2" w:rsidRPr="00BD62FC" w:rsidRDefault="00C60CC2" w:rsidP="00AB1CE0">
      <w:pPr>
        <w:pStyle w:val="BodyText"/>
        <w:numPr>
          <w:ilvl w:val="1"/>
          <w:numId w:val="10"/>
        </w:numPr>
        <w:spacing w:before="120"/>
        <w:ind w:left="1418" w:hanging="284"/>
        <w:rPr>
          <w:rFonts w:ascii="Arial" w:hAnsi="Arial" w:cs="Arial"/>
          <w:iCs/>
          <w:sz w:val="20"/>
        </w:rPr>
      </w:pPr>
      <w:proofErr w:type="spellStart"/>
      <w:r w:rsidRPr="00BD62FC">
        <w:rPr>
          <w:rFonts w:ascii="Arial" w:hAnsi="Arial" w:cs="Arial"/>
          <w:iCs/>
          <w:sz w:val="20"/>
        </w:rPr>
        <w:t>futures</w:t>
      </w:r>
      <w:proofErr w:type="spellEnd"/>
      <w:r w:rsidRPr="00BD62FC">
        <w:rPr>
          <w:rFonts w:ascii="Arial" w:hAnsi="Arial" w:cs="Arial"/>
          <w:iCs/>
          <w:sz w:val="20"/>
        </w:rPr>
        <w:t xml:space="preserve"> a forwardy týkajúce sa mien, ktoré môžu byť vyrovnané doručením alebo v hotovosti,</w:t>
      </w:r>
    </w:p>
    <w:p w14:paraId="20F3A48A" w14:textId="77777777" w:rsidR="00C60CC2" w:rsidRPr="00BD62FC" w:rsidRDefault="00C60CC2" w:rsidP="00AB1CE0">
      <w:pPr>
        <w:pStyle w:val="BodyText"/>
        <w:numPr>
          <w:ilvl w:val="1"/>
          <w:numId w:val="10"/>
        </w:numPr>
        <w:spacing w:before="120"/>
        <w:ind w:left="1418" w:hanging="284"/>
        <w:rPr>
          <w:rFonts w:ascii="Arial" w:hAnsi="Arial" w:cs="Arial"/>
          <w:iCs/>
          <w:sz w:val="20"/>
        </w:rPr>
      </w:pPr>
      <w:r w:rsidRPr="00BD62FC">
        <w:rPr>
          <w:rFonts w:ascii="Arial" w:hAnsi="Arial" w:cs="Arial"/>
          <w:iCs/>
          <w:sz w:val="20"/>
        </w:rPr>
        <w:t>swapy, týkajúce sa  úrokových mier alebo výnosov, ktoré môžu byť vyrovnané doručením alebo v hotovosti,</w:t>
      </w:r>
    </w:p>
    <w:p w14:paraId="3DFC0485" w14:textId="5604A3F5" w:rsidR="00C60CC2" w:rsidRPr="00BD62FC" w:rsidRDefault="00C60CC2" w:rsidP="00AB1CE0">
      <w:pPr>
        <w:pStyle w:val="BodyText"/>
        <w:spacing w:before="120"/>
        <w:ind w:left="314" w:firstLine="394"/>
        <w:rPr>
          <w:rFonts w:ascii="Arial" w:hAnsi="Arial" w:cs="Arial"/>
          <w:iCs/>
          <w:sz w:val="20"/>
        </w:rPr>
      </w:pPr>
      <w:r w:rsidRPr="00BD62FC">
        <w:rPr>
          <w:rFonts w:ascii="Arial" w:hAnsi="Arial" w:cs="Arial"/>
          <w:iCs/>
          <w:sz w:val="20"/>
        </w:rPr>
        <w:t>2</w:t>
      </w:r>
      <w:r w:rsidR="00A675BB" w:rsidRPr="00BD62FC">
        <w:rPr>
          <w:rFonts w:ascii="Arial" w:hAnsi="Arial" w:cs="Arial"/>
          <w:iCs/>
          <w:sz w:val="20"/>
        </w:rPr>
        <w:t>1.</w:t>
      </w:r>
      <w:r w:rsidRPr="00BD62FC">
        <w:rPr>
          <w:rFonts w:ascii="Arial" w:hAnsi="Arial" w:cs="Arial"/>
          <w:iCs/>
          <w:sz w:val="20"/>
        </w:rPr>
        <w:t xml:space="preserve">  investičné poradenstvo vo vzťahu k finančným nástrojom:</w:t>
      </w:r>
    </w:p>
    <w:p w14:paraId="0846399D" w14:textId="77777777" w:rsidR="00C60CC2" w:rsidRPr="00BD62FC" w:rsidRDefault="00C60CC2" w:rsidP="00AB1CE0">
      <w:pPr>
        <w:pStyle w:val="BodyText"/>
        <w:numPr>
          <w:ilvl w:val="0"/>
          <w:numId w:val="11"/>
        </w:numPr>
        <w:tabs>
          <w:tab w:val="clear" w:pos="643"/>
          <w:tab w:val="num" w:pos="957"/>
        </w:tabs>
        <w:spacing w:before="120"/>
        <w:ind w:left="957" w:firstLine="177"/>
        <w:rPr>
          <w:rFonts w:ascii="Arial" w:hAnsi="Arial" w:cs="Arial"/>
          <w:iCs/>
          <w:sz w:val="20"/>
        </w:rPr>
      </w:pPr>
      <w:r w:rsidRPr="00BD62FC">
        <w:rPr>
          <w:rFonts w:ascii="Arial" w:hAnsi="Arial" w:cs="Arial"/>
          <w:iCs/>
          <w:sz w:val="20"/>
        </w:rPr>
        <w:t>prevoditeľné cenné papiere,</w:t>
      </w:r>
    </w:p>
    <w:p w14:paraId="091CE09B" w14:textId="77777777" w:rsidR="00C60CC2" w:rsidRPr="00BD62FC" w:rsidRDefault="00C60CC2" w:rsidP="00AB1CE0">
      <w:pPr>
        <w:pStyle w:val="BodyText"/>
        <w:numPr>
          <w:ilvl w:val="0"/>
          <w:numId w:val="11"/>
        </w:numPr>
        <w:tabs>
          <w:tab w:val="clear" w:pos="643"/>
          <w:tab w:val="num" w:pos="957"/>
        </w:tabs>
        <w:spacing w:before="120"/>
        <w:ind w:left="957" w:firstLine="177"/>
        <w:rPr>
          <w:rFonts w:ascii="Arial" w:hAnsi="Arial" w:cs="Arial"/>
          <w:iCs/>
          <w:sz w:val="20"/>
        </w:rPr>
      </w:pPr>
      <w:r w:rsidRPr="00BD62FC">
        <w:rPr>
          <w:rFonts w:ascii="Arial" w:hAnsi="Arial" w:cs="Arial"/>
          <w:iCs/>
          <w:sz w:val="20"/>
        </w:rPr>
        <w:t>nástroje peňažného trhu,</w:t>
      </w:r>
    </w:p>
    <w:p w14:paraId="33E14000" w14:textId="77777777" w:rsidR="00C60CC2" w:rsidRPr="00BD62FC" w:rsidRDefault="00C60CC2" w:rsidP="00AB1CE0">
      <w:pPr>
        <w:pStyle w:val="BodyText"/>
        <w:numPr>
          <w:ilvl w:val="0"/>
          <w:numId w:val="11"/>
        </w:numPr>
        <w:tabs>
          <w:tab w:val="clear" w:pos="643"/>
          <w:tab w:val="num" w:pos="1418"/>
        </w:tabs>
        <w:spacing w:before="120"/>
        <w:ind w:left="1418" w:hanging="284"/>
        <w:rPr>
          <w:rFonts w:ascii="Arial" w:hAnsi="Arial" w:cs="Arial"/>
          <w:iCs/>
          <w:sz w:val="20"/>
        </w:rPr>
      </w:pPr>
      <w:r w:rsidRPr="00BD62FC">
        <w:rPr>
          <w:rFonts w:ascii="Arial" w:hAnsi="Arial" w:cs="Arial"/>
          <w:iCs/>
          <w:sz w:val="20"/>
        </w:rPr>
        <w:t>podielové listy alebo cenné papiere vydané zahraničnými subjektmi kolektívneho investovania,</w:t>
      </w:r>
    </w:p>
    <w:p w14:paraId="6361017C" w14:textId="48C4E85D" w:rsidR="00C60CC2" w:rsidRPr="00BD62FC" w:rsidRDefault="00C60CC2" w:rsidP="00AB1CE0">
      <w:pPr>
        <w:pStyle w:val="BodyText"/>
        <w:spacing w:before="120" w:line="276" w:lineRule="auto"/>
        <w:ind w:left="1134" w:hanging="394"/>
        <w:rPr>
          <w:rFonts w:ascii="Arial" w:hAnsi="Arial" w:cs="Arial"/>
          <w:iCs/>
          <w:sz w:val="20"/>
        </w:rPr>
      </w:pPr>
      <w:r w:rsidRPr="00BD62FC">
        <w:rPr>
          <w:rFonts w:ascii="Arial" w:hAnsi="Arial" w:cs="Arial"/>
          <w:iCs/>
          <w:sz w:val="20"/>
        </w:rPr>
        <w:t>2</w:t>
      </w:r>
      <w:r w:rsidR="00A675BB" w:rsidRPr="00BD62FC">
        <w:rPr>
          <w:rFonts w:ascii="Arial" w:hAnsi="Arial" w:cs="Arial"/>
          <w:iCs/>
          <w:sz w:val="20"/>
        </w:rPr>
        <w:t>2</w:t>
      </w:r>
      <w:r w:rsidRPr="00BD62FC">
        <w:rPr>
          <w:rFonts w:ascii="Arial" w:hAnsi="Arial" w:cs="Arial"/>
          <w:iCs/>
          <w:sz w:val="20"/>
        </w:rPr>
        <w:t>. upisovanie a umiestňovanie finančných nástrojov na základe pevného záväzku vo vzťahu k prevoditeľným cenným papierom,</w:t>
      </w:r>
    </w:p>
    <w:p w14:paraId="1B82E8D0" w14:textId="63D2C958" w:rsidR="00C60CC2" w:rsidRPr="00BD62FC" w:rsidRDefault="00C60CC2" w:rsidP="00AB1CE0">
      <w:pPr>
        <w:pStyle w:val="BodyText"/>
        <w:spacing w:before="120"/>
        <w:ind w:left="314" w:firstLine="394"/>
        <w:rPr>
          <w:rFonts w:ascii="Arial" w:hAnsi="Arial" w:cs="Arial"/>
          <w:iCs/>
          <w:sz w:val="20"/>
        </w:rPr>
      </w:pPr>
      <w:r w:rsidRPr="00BD62FC">
        <w:rPr>
          <w:rFonts w:ascii="Arial" w:hAnsi="Arial" w:cs="Arial"/>
          <w:iCs/>
          <w:sz w:val="20"/>
        </w:rPr>
        <w:t>2</w:t>
      </w:r>
      <w:r w:rsidR="00A675BB" w:rsidRPr="00BD62FC">
        <w:rPr>
          <w:rFonts w:ascii="Arial" w:hAnsi="Arial" w:cs="Arial"/>
          <w:iCs/>
          <w:sz w:val="20"/>
        </w:rPr>
        <w:t>3</w:t>
      </w:r>
      <w:r w:rsidRPr="00BD62FC">
        <w:rPr>
          <w:rFonts w:ascii="Arial" w:hAnsi="Arial" w:cs="Arial"/>
          <w:iCs/>
          <w:sz w:val="20"/>
        </w:rPr>
        <w:t>. umiestňovanie finančných nástrojov bez pevného záväzku vo vzťahu k finančným nástrojom:</w:t>
      </w:r>
    </w:p>
    <w:p w14:paraId="082A2338" w14:textId="77777777" w:rsidR="00C60CC2" w:rsidRPr="00BD62FC" w:rsidRDefault="00C60CC2" w:rsidP="00AB1CE0">
      <w:pPr>
        <w:pStyle w:val="BodyText"/>
        <w:numPr>
          <w:ilvl w:val="0"/>
          <w:numId w:val="12"/>
        </w:numPr>
        <w:tabs>
          <w:tab w:val="clear" w:pos="643"/>
          <w:tab w:val="num" w:pos="957"/>
        </w:tabs>
        <w:spacing w:before="120"/>
        <w:ind w:left="957" w:firstLine="177"/>
        <w:rPr>
          <w:rFonts w:ascii="Arial" w:hAnsi="Arial" w:cs="Arial"/>
          <w:iCs/>
          <w:sz w:val="20"/>
        </w:rPr>
      </w:pPr>
      <w:r w:rsidRPr="00BD62FC">
        <w:rPr>
          <w:rFonts w:ascii="Arial" w:hAnsi="Arial" w:cs="Arial"/>
          <w:iCs/>
          <w:sz w:val="20"/>
        </w:rPr>
        <w:t>prevoditeľné cenné papiere,</w:t>
      </w:r>
    </w:p>
    <w:p w14:paraId="5395E2E6" w14:textId="77777777" w:rsidR="00C60CC2" w:rsidRPr="00BD62FC" w:rsidRDefault="00C60CC2" w:rsidP="00AB1CE0">
      <w:pPr>
        <w:pStyle w:val="BodyText"/>
        <w:numPr>
          <w:ilvl w:val="0"/>
          <w:numId w:val="12"/>
        </w:numPr>
        <w:tabs>
          <w:tab w:val="clear" w:pos="643"/>
          <w:tab w:val="num" w:pos="1418"/>
        </w:tabs>
        <w:spacing w:before="120"/>
        <w:ind w:left="1418" w:hanging="284"/>
        <w:rPr>
          <w:rFonts w:ascii="Arial" w:hAnsi="Arial" w:cs="Arial"/>
          <w:iCs/>
          <w:sz w:val="20"/>
        </w:rPr>
      </w:pPr>
      <w:r w:rsidRPr="00BD62FC">
        <w:rPr>
          <w:rFonts w:ascii="Arial" w:hAnsi="Arial" w:cs="Arial"/>
          <w:iCs/>
          <w:sz w:val="20"/>
        </w:rPr>
        <w:t>podielové listy alebo cenné papiere vydané zahraničnými subjektmi kolektívneho investovania,</w:t>
      </w:r>
    </w:p>
    <w:p w14:paraId="7CE77DCC" w14:textId="77777777" w:rsidR="00A675BB" w:rsidRPr="00BD62FC" w:rsidRDefault="00C60CC2" w:rsidP="00A675BB">
      <w:pPr>
        <w:pStyle w:val="BodyText"/>
        <w:spacing w:before="120"/>
        <w:ind w:left="1134" w:hanging="394"/>
        <w:rPr>
          <w:rFonts w:ascii="Arial" w:hAnsi="Arial" w:cs="Arial"/>
          <w:iCs/>
          <w:sz w:val="20"/>
        </w:rPr>
      </w:pPr>
      <w:r w:rsidRPr="00BD62FC">
        <w:rPr>
          <w:rFonts w:ascii="Arial" w:hAnsi="Arial" w:cs="Arial"/>
          <w:iCs/>
          <w:sz w:val="20"/>
        </w:rPr>
        <w:t>2</w:t>
      </w:r>
      <w:r w:rsidR="00A675BB" w:rsidRPr="00BD62FC">
        <w:rPr>
          <w:rFonts w:ascii="Arial" w:hAnsi="Arial" w:cs="Arial"/>
          <w:iCs/>
          <w:sz w:val="20"/>
        </w:rPr>
        <w:t>4</w:t>
      </w:r>
      <w:r w:rsidRPr="00BD62FC">
        <w:rPr>
          <w:rFonts w:ascii="Arial" w:hAnsi="Arial" w:cs="Arial"/>
          <w:iCs/>
          <w:sz w:val="20"/>
        </w:rPr>
        <w:t xml:space="preserve">. </w:t>
      </w:r>
      <w:r w:rsidR="00A675BB" w:rsidRPr="00BD62FC">
        <w:rPr>
          <w:rFonts w:ascii="Arial" w:hAnsi="Arial" w:cs="Arial"/>
          <w:iCs/>
          <w:sz w:val="20"/>
        </w:rPr>
        <w:t>úschova podielových listov alebo cenných papierov vydaných zahraničnými subjektami kolektívneho investovania a správa prevoditeľných cenných papierov na účet klienta, okrem držiteľskej správy, a súvisiace služby, najmä správa peňažných prostriedkov a finančných zábezpek, vo vzťahu k finančným nástrojom:</w:t>
      </w:r>
    </w:p>
    <w:p w14:paraId="57D1FB50" w14:textId="77777777" w:rsidR="00A675BB" w:rsidRPr="00BD62FC" w:rsidRDefault="00A675BB" w:rsidP="00A675BB">
      <w:pPr>
        <w:pStyle w:val="BodyText"/>
        <w:spacing w:before="120"/>
        <w:ind w:left="1528" w:hanging="394"/>
        <w:rPr>
          <w:rFonts w:ascii="Arial" w:hAnsi="Arial" w:cs="Arial"/>
          <w:iCs/>
          <w:sz w:val="20"/>
        </w:rPr>
      </w:pPr>
      <w:r w:rsidRPr="00BD62FC">
        <w:rPr>
          <w:rFonts w:ascii="Arial" w:hAnsi="Arial" w:cs="Arial"/>
          <w:iCs/>
          <w:sz w:val="20"/>
        </w:rPr>
        <w:t>a) prevoditeľné cenné papiere</w:t>
      </w:r>
    </w:p>
    <w:p w14:paraId="2DA2FDD0" w14:textId="77777777" w:rsidR="00A675BB" w:rsidRPr="00BD62FC" w:rsidRDefault="00A675BB" w:rsidP="00A675BB">
      <w:pPr>
        <w:pStyle w:val="BodyText"/>
        <w:spacing w:before="120"/>
        <w:ind w:left="1528" w:hanging="394"/>
        <w:rPr>
          <w:rFonts w:ascii="Arial" w:hAnsi="Arial" w:cs="Arial"/>
          <w:iCs/>
          <w:sz w:val="20"/>
        </w:rPr>
      </w:pPr>
      <w:r w:rsidRPr="00BD62FC">
        <w:rPr>
          <w:rFonts w:ascii="Arial" w:hAnsi="Arial" w:cs="Arial"/>
          <w:iCs/>
          <w:sz w:val="20"/>
        </w:rPr>
        <w:t>b) nástroje peňažného trhu</w:t>
      </w:r>
    </w:p>
    <w:p w14:paraId="382E7D4D" w14:textId="60EFCE8E" w:rsidR="00C60CC2" w:rsidRPr="00BD62FC" w:rsidRDefault="00A675BB" w:rsidP="00A675BB">
      <w:pPr>
        <w:pStyle w:val="BodyText"/>
        <w:spacing w:before="120" w:line="276" w:lineRule="auto"/>
        <w:ind w:left="1528" w:hanging="394"/>
        <w:rPr>
          <w:rFonts w:ascii="Arial" w:hAnsi="Arial" w:cs="Arial"/>
          <w:iCs/>
          <w:sz w:val="20"/>
        </w:rPr>
      </w:pPr>
      <w:r w:rsidRPr="00BD62FC">
        <w:rPr>
          <w:rFonts w:ascii="Arial" w:hAnsi="Arial" w:cs="Arial"/>
          <w:iCs/>
          <w:sz w:val="20"/>
        </w:rPr>
        <w:t>c) cenné papiere alebo majetkové účasti subjektov kolektívneho investovania</w:t>
      </w:r>
      <w:r w:rsidR="00C60CC2" w:rsidRPr="00BD62FC">
        <w:rPr>
          <w:rFonts w:ascii="Arial" w:hAnsi="Arial" w:cs="Arial"/>
          <w:iCs/>
          <w:sz w:val="20"/>
        </w:rPr>
        <w:t xml:space="preserve">, </w:t>
      </w:r>
    </w:p>
    <w:p w14:paraId="6A89D474" w14:textId="24746D8B" w:rsidR="00C60CC2" w:rsidRPr="00BD62FC" w:rsidRDefault="00C60CC2" w:rsidP="00AB1CE0">
      <w:pPr>
        <w:pStyle w:val="BodyText"/>
        <w:spacing w:before="120"/>
        <w:ind w:left="1134" w:hanging="394"/>
        <w:rPr>
          <w:rFonts w:ascii="Arial" w:hAnsi="Arial" w:cs="Arial"/>
          <w:i/>
          <w:iCs/>
          <w:sz w:val="20"/>
        </w:rPr>
      </w:pPr>
      <w:r w:rsidRPr="00BD62FC">
        <w:rPr>
          <w:rFonts w:ascii="Arial" w:hAnsi="Arial" w:cs="Arial"/>
          <w:iCs/>
          <w:sz w:val="20"/>
        </w:rPr>
        <w:t>2</w:t>
      </w:r>
      <w:r w:rsidR="00A675BB" w:rsidRPr="00BD62FC">
        <w:rPr>
          <w:rFonts w:ascii="Arial" w:hAnsi="Arial" w:cs="Arial"/>
          <w:iCs/>
          <w:sz w:val="20"/>
        </w:rPr>
        <w:t>5</w:t>
      </w:r>
      <w:r w:rsidRPr="00BD62FC">
        <w:rPr>
          <w:rFonts w:ascii="Arial" w:hAnsi="Arial" w:cs="Arial"/>
          <w:i/>
          <w:iCs/>
          <w:sz w:val="20"/>
        </w:rPr>
        <w:t>.</w:t>
      </w:r>
      <w:r w:rsidRPr="00BD62FC">
        <w:rPr>
          <w:rFonts w:ascii="Arial" w:hAnsi="Arial" w:cs="Arial"/>
          <w:iCs/>
          <w:sz w:val="20"/>
        </w:rPr>
        <w:t xml:space="preserve"> vykonávanie obchodov s devízovými hodnotami, ak sú tie spojené s poskytovaním investičných služieb,</w:t>
      </w:r>
      <w:r w:rsidRPr="00BD62FC">
        <w:rPr>
          <w:rFonts w:ascii="Arial" w:hAnsi="Arial" w:cs="Arial"/>
          <w:i/>
          <w:iCs/>
          <w:sz w:val="20"/>
        </w:rPr>
        <w:t xml:space="preserve"> </w:t>
      </w:r>
    </w:p>
    <w:p w14:paraId="44A84C0B" w14:textId="6B1EB5D8" w:rsidR="00C60CC2" w:rsidRPr="00BD62FC" w:rsidRDefault="00C60CC2" w:rsidP="00AB1CE0">
      <w:pPr>
        <w:pStyle w:val="BodyText"/>
        <w:spacing w:before="120" w:line="276" w:lineRule="auto"/>
        <w:ind w:left="1134" w:hanging="394"/>
        <w:rPr>
          <w:rFonts w:ascii="Arial" w:hAnsi="Arial" w:cs="Arial"/>
          <w:iCs/>
          <w:sz w:val="20"/>
        </w:rPr>
      </w:pPr>
      <w:r w:rsidRPr="00BD62FC">
        <w:rPr>
          <w:rFonts w:ascii="Arial" w:hAnsi="Arial" w:cs="Arial"/>
          <w:iCs/>
          <w:sz w:val="20"/>
        </w:rPr>
        <w:t>2</w:t>
      </w:r>
      <w:r w:rsidR="00A675BB" w:rsidRPr="00BD62FC">
        <w:rPr>
          <w:rFonts w:ascii="Arial" w:hAnsi="Arial" w:cs="Arial"/>
          <w:iCs/>
          <w:sz w:val="20"/>
        </w:rPr>
        <w:t>6</w:t>
      </w:r>
      <w:r w:rsidRPr="00BD62FC">
        <w:rPr>
          <w:rFonts w:ascii="Arial" w:hAnsi="Arial" w:cs="Arial"/>
          <w:iCs/>
          <w:sz w:val="20"/>
        </w:rPr>
        <w:t>. vykonávanie investičného prieskumu a finančnej analýzy alebo inej formy všeobecného odporúčania týkajúceho sa obchodov s finančnými nástrojmi,</w:t>
      </w:r>
    </w:p>
    <w:p w14:paraId="03F073CE" w14:textId="77777777" w:rsidR="003956FD" w:rsidRPr="00BD62FC" w:rsidRDefault="003956FD" w:rsidP="00AB1CE0">
      <w:pPr>
        <w:tabs>
          <w:tab w:val="num" w:pos="411"/>
        </w:tabs>
        <w:spacing w:after="0" w:line="240" w:lineRule="auto"/>
        <w:ind w:left="314"/>
        <w:jc w:val="both"/>
        <w:rPr>
          <w:rFonts w:ascii="Arial" w:hAnsi="Arial" w:cs="Arial"/>
          <w:iCs/>
          <w:sz w:val="20"/>
          <w:szCs w:val="20"/>
        </w:rPr>
      </w:pPr>
    </w:p>
    <w:p w14:paraId="077A1D0A" w14:textId="04BDE46A" w:rsidR="00C60CC2" w:rsidRPr="00BD62FC" w:rsidRDefault="00C60CC2" w:rsidP="00AB1CE0">
      <w:pPr>
        <w:tabs>
          <w:tab w:val="num" w:pos="411"/>
        </w:tabs>
        <w:spacing w:after="0" w:line="240" w:lineRule="auto"/>
        <w:ind w:left="314"/>
        <w:jc w:val="both"/>
        <w:rPr>
          <w:rFonts w:ascii="Arial" w:hAnsi="Arial" w:cs="Arial"/>
          <w:iCs/>
          <w:sz w:val="20"/>
          <w:szCs w:val="20"/>
        </w:rPr>
      </w:pPr>
      <w:r w:rsidRPr="00BD62FC">
        <w:rPr>
          <w:rFonts w:ascii="Arial" w:hAnsi="Arial" w:cs="Arial"/>
          <w:iCs/>
          <w:sz w:val="20"/>
          <w:szCs w:val="20"/>
        </w:rPr>
        <w:tab/>
      </w:r>
      <w:r w:rsidRPr="00BD62FC">
        <w:rPr>
          <w:rFonts w:ascii="Arial" w:hAnsi="Arial" w:cs="Arial"/>
          <w:iCs/>
          <w:sz w:val="20"/>
          <w:szCs w:val="20"/>
        </w:rPr>
        <w:tab/>
        <w:t>2</w:t>
      </w:r>
      <w:r w:rsidR="00A675BB" w:rsidRPr="00BD62FC">
        <w:rPr>
          <w:rFonts w:ascii="Arial" w:hAnsi="Arial" w:cs="Arial"/>
          <w:iCs/>
          <w:sz w:val="20"/>
          <w:szCs w:val="20"/>
        </w:rPr>
        <w:t>7</w:t>
      </w:r>
      <w:r w:rsidRPr="00BD62FC">
        <w:rPr>
          <w:rFonts w:ascii="Arial" w:hAnsi="Arial" w:cs="Arial"/>
          <w:iCs/>
          <w:sz w:val="20"/>
          <w:szCs w:val="20"/>
        </w:rPr>
        <w:t>.  služby spojené s upisovaním finančných nástrojov.</w:t>
      </w:r>
    </w:p>
    <w:p w14:paraId="72B8B058" w14:textId="6CFD5AE3" w:rsidR="00C60CC2" w:rsidRPr="00BD62FC" w:rsidRDefault="00C60CC2" w:rsidP="00AB1CE0">
      <w:pPr>
        <w:tabs>
          <w:tab w:val="left" w:pos="709"/>
        </w:tabs>
        <w:spacing w:before="120"/>
        <w:ind w:left="1134" w:hanging="760"/>
        <w:jc w:val="both"/>
        <w:rPr>
          <w:rFonts w:ascii="Arial" w:hAnsi="Arial" w:cs="Arial"/>
          <w:sz w:val="20"/>
          <w:szCs w:val="20"/>
        </w:rPr>
      </w:pPr>
      <w:r w:rsidRPr="00BD62FC">
        <w:rPr>
          <w:rFonts w:ascii="Arial" w:hAnsi="Arial" w:cs="Arial"/>
          <w:sz w:val="20"/>
          <w:szCs w:val="20"/>
        </w:rPr>
        <w:tab/>
        <w:t>2</w:t>
      </w:r>
      <w:r w:rsidR="00A675BB" w:rsidRPr="00BD62FC">
        <w:rPr>
          <w:rFonts w:ascii="Arial" w:hAnsi="Arial" w:cs="Arial"/>
          <w:sz w:val="20"/>
          <w:szCs w:val="20"/>
        </w:rPr>
        <w:t>8</w:t>
      </w:r>
      <w:r w:rsidRPr="00BD62FC">
        <w:rPr>
          <w:rFonts w:ascii="Arial" w:hAnsi="Arial" w:cs="Arial"/>
          <w:sz w:val="20"/>
          <w:szCs w:val="20"/>
        </w:rPr>
        <w:t xml:space="preserve">. </w:t>
      </w:r>
      <w:r w:rsidR="00A675BB" w:rsidRPr="00BD62FC">
        <w:rPr>
          <w:rFonts w:ascii="Arial" w:hAnsi="Arial" w:cs="Arial"/>
          <w:sz w:val="20"/>
          <w:szCs w:val="20"/>
        </w:rPr>
        <w:t>finančné sprostredkovanie podľa zákona c. 186/2009 Z. z. o finančnom sprostredkovaní a finančnom poradenstve a o zmene a doplnení niektorých zákonov v znení neskorších predpisov ako viazaný finančný agent v sektore poistenia alebo zaistenia, v sektore poskytovania úverov, úverov na bývanie a spotrebiteľských úverov a v sektore prijímania vkladov, v sektore dôchodkového sporenia a v sektore doplnkového dôchodkového sporenia</w:t>
      </w:r>
      <w:r w:rsidR="002F3032" w:rsidRPr="00BD62FC">
        <w:rPr>
          <w:rFonts w:ascii="Arial" w:hAnsi="Arial" w:cs="Arial"/>
          <w:sz w:val="20"/>
          <w:szCs w:val="20"/>
        </w:rPr>
        <w:t>.</w:t>
      </w:r>
    </w:p>
    <w:p w14:paraId="32520426" w14:textId="77777777" w:rsidR="00C60CC2" w:rsidRPr="00BD62FC" w:rsidRDefault="00C60CC2" w:rsidP="00AB1CE0">
      <w:pPr>
        <w:pStyle w:val="ListParagraph"/>
        <w:numPr>
          <w:ilvl w:val="0"/>
          <w:numId w:val="29"/>
        </w:numPr>
        <w:tabs>
          <w:tab w:val="clear" w:pos="360"/>
          <w:tab w:val="num" w:pos="426"/>
        </w:tabs>
        <w:ind w:left="426" w:hanging="426"/>
        <w:jc w:val="both"/>
        <w:rPr>
          <w:rFonts w:ascii="Arial" w:hAnsi="Arial" w:cs="Arial"/>
          <w:sz w:val="20"/>
          <w:szCs w:val="20"/>
        </w:rPr>
      </w:pPr>
      <w:r w:rsidRPr="00BD62FC">
        <w:rPr>
          <w:rFonts w:ascii="Arial" w:hAnsi="Arial" w:cs="Arial"/>
          <w:b/>
          <w:sz w:val="20"/>
          <w:szCs w:val="20"/>
        </w:rPr>
        <w:t>zoznam povolených činností, ktoré sa nevykonávajú</w:t>
      </w:r>
      <w:r w:rsidRPr="00BD62FC">
        <w:rPr>
          <w:rFonts w:ascii="Arial" w:hAnsi="Arial" w:cs="Arial"/>
          <w:sz w:val="20"/>
          <w:szCs w:val="20"/>
        </w:rPr>
        <w:t>: finančný lízing</w:t>
      </w:r>
    </w:p>
    <w:p w14:paraId="0F75FA1A" w14:textId="77777777" w:rsidR="00C60CC2" w:rsidRPr="00BD62FC" w:rsidRDefault="00C60CC2" w:rsidP="00AB1CE0">
      <w:pPr>
        <w:pStyle w:val="ListParagraph"/>
        <w:ind w:left="390"/>
        <w:jc w:val="both"/>
        <w:rPr>
          <w:rFonts w:ascii="Arial" w:hAnsi="Arial" w:cs="Arial"/>
          <w:sz w:val="20"/>
          <w:szCs w:val="20"/>
        </w:rPr>
      </w:pPr>
    </w:p>
    <w:p w14:paraId="3C08782F" w14:textId="77777777" w:rsidR="00C60CC2" w:rsidRPr="00BD62FC" w:rsidRDefault="00C60CC2" w:rsidP="00AB1CE0">
      <w:pPr>
        <w:pStyle w:val="ListParagraph"/>
        <w:numPr>
          <w:ilvl w:val="0"/>
          <w:numId w:val="29"/>
        </w:numPr>
        <w:tabs>
          <w:tab w:val="clear" w:pos="360"/>
          <w:tab w:val="num" w:pos="426"/>
        </w:tabs>
        <w:spacing w:line="240" w:lineRule="auto"/>
        <w:ind w:left="426" w:hanging="426"/>
        <w:jc w:val="both"/>
        <w:rPr>
          <w:rFonts w:ascii="Arial" w:hAnsi="Arial" w:cs="Arial"/>
          <w:sz w:val="20"/>
          <w:szCs w:val="20"/>
        </w:rPr>
      </w:pPr>
      <w:r w:rsidRPr="00BD62FC">
        <w:rPr>
          <w:rFonts w:ascii="Arial" w:hAnsi="Arial" w:cs="Arial"/>
          <w:b/>
          <w:sz w:val="20"/>
          <w:szCs w:val="20"/>
        </w:rPr>
        <w:t>zoznam činností, ktorých vykonávanie bolo príslušným  orgánom obmedzené, dočasne pozastavené alebo zrušené</w:t>
      </w:r>
      <w:r w:rsidRPr="00BD62FC">
        <w:rPr>
          <w:rFonts w:ascii="Arial" w:hAnsi="Arial" w:cs="Arial"/>
          <w:sz w:val="20"/>
          <w:szCs w:val="20"/>
        </w:rPr>
        <w:t xml:space="preserve">: </w:t>
      </w:r>
    </w:p>
    <w:p w14:paraId="2BF77A84" w14:textId="77777777" w:rsidR="00C60CC2" w:rsidRPr="00BD62FC" w:rsidRDefault="00C60CC2" w:rsidP="00AB1CE0">
      <w:pPr>
        <w:pStyle w:val="ListParagraph"/>
        <w:spacing w:line="240" w:lineRule="auto"/>
        <w:rPr>
          <w:rFonts w:ascii="Arial" w:hAnsi="Arial" w:cs="Arial"/>
          <w:sz w:val="20"/>
          <w:szCs w:val="20"/>
        </w:rPr>
      </w:pPr>
    </w:p>
    <w:p w14:paraId="5023F2D1" w14:textId="77777777" w:rsidR="00C60CC2" w:rsidRPr="00B13FC6" w:rsidRDefault="00C60CC2" w:rsidP="00AB1CE0">
      <w:pPr>
        <w:pStyle w:val="ListParagraph"/>
        <w:ind w:left="426"/>
        <w:rPr>
          <w:rFonts w:ascii="Arial" w:hAnsi="Arial" w:cs="Arial"/>
          <w:sz w:val="20"/>
          <w:szCs w:val="20"/>
        </w:rPr>
      </w:pPr>
      <w:r w:rsidRPr="00BD62FC">
        <w:rPr>
          <w:rFonts w:ascii="Arial" w:hAnsi="Arial" w:cs="Arial"/>
          <w:sz w:val="20"/>
          <w:szCs w:val="20"/>
        </w:rPr>
        <w:t>Banke nebola obmedzená, dočasne pozastavená alebo zrušená žiadna činnosť.</w:t>
      </w:r>
    </w:p>
    <w:p w14:paraId="0E27261A" w14:textId="77777777" w:rsidR="00C60CC2" w:rsidRPr="00B13FC6" w:rsidRDefault="00C60CC2" w:rsidP="00AB1CE0">
      <w:pPr>
        <w:pStyle w:val="ListParagraph"/>
        <w:spacing w:before="240" w:after="0" w:line="240" w:lineRule="auto"/>
        <w:ind w:left="390"/>
        <w:rPr>
          <w:rFonts w:ascii="Arial" w:hAnsi="Arial" w:cs="Arial"/>
          <w:sz w:val="20"/>
          <w:szCs w:val="20"/>
        </w:rPr>
      </w:pPr>
    </w:p>
    <w:p w14:paraId="27AF1F28" w14:textId="77777777" w:rsidR="00AC6C48" w:rsidRPr="007D58E0" w:rsidRDefault="00AC6C48" w:rsidP="00AC6C48">
      <w:pPr>
        <w:numPr>
          <w:ilvl w:val="0"/>
          <w:numId w:val="29"/>
        </w:numPr>
        <w:tabs>
          <w:tab w:val="clear" w:pos="360"/>
          <w:tab w:val="num" w:pos="426"/>
        </w:tabs>
        <w:spacing w:line="240" w:lineRule="auto"/>
        <w:ind w:left="426" w:hanging="426"/>
        <w:contextualSpacing/>
        <w:rPr>
          <w:rFonts w:ascii="Arial" w:hAnsi="Arial" w:cs="Arial"/>
          <w:sz w:val="20"/>
          <w:szCs w:val="20"/>
        </w:rPr>
      </w:pPr>
      <w:r w:rsidRPr="007D58E0">
        <w:rPr>
          <w:rFonts w:ascii="Arial" w:hAnsi="Arial" w:cs="Arial"/>
          <w:b/>
          <w:sz w:val="20"/>
          <w:szCs w:val="20"/>
        </w:rPr>
        <w:t>citácia výrokovej časti právoplatného rozhodnutia, ktorým bolo uložené opatrenie na nápravu v priebehu kalendárneho štvrťroka</w:t>
      </w:r>
      <w:r w:rsidRPr="007D58E0">
        <w:rPr>
          <w:rFonts w:ascii="Arial" w:hAnsi="Arial" w:cs="Arial"/>
          <w:sz w:val="20"/>
          <w:szCs w:val="20"/>
        </w:rPr>
        <w:t>:</w:t>
      </w:r>
    </w:p>
    <w:p w14:paraId="044B1634" w14:textId="77777777" w:rsidR="00AC6C48" w:rsidRPr="007D58E0" w:rsidRDefault="00AC6C48" w:rsidP="00AC6C48">
      <w:pPr>
        <w:spacing w:line="240" w:lineRule="auto"/>
        <w:ind w:left="390"/>
        <w:contextualSpacing/>
        <w:jc w:val="both"/>
        <w:rPr>
          <w:rFonts w:ascii="Arial" w:hAnsi="Arial" w:cs="Arial"/>
          <w:sz w:val="20"/>
          <w:szCs w:val="20"/>
        </w:rPr>
      </w:pPr>
      <w:r w:rsidRPr="007D58E0">
        <w:rPr>
          <w:rFonts w:ascii="Arial" w:hAnsi="Arial" w:cs="Arial"/>
          <w:sz w:val="20"/>
          <w:szCs w:val="20"/>
        </w:rPr>
        <w:t xml:space="preserve"> </w:t>
      </w:r>
    </w:p>
    <w:p w14:paraId="4F9F861B" w14:textId="43B8BCD6" w:rsidR="00AC6C48" w:rsidRPr="007D58E0" w:rsidRDefault="00AC6C48" w:rsidP="00AC6C48">
      <w:pPr>
        <w:spacing w:line="240" w:lineRule="auto"/>
        <w:ind w:left="426"/>
        <w:contextualSpacing/>
        <w:jc w:val="both"/>
        <w:rPr>
          <w:rFonts w:ascii="Arial" w:hAnsi="Arial" w:cs="Arial"/>
          <w:sz w:val="20"/>
          <w:szCs w:val="20"/>
        </w:rPr>
      </w:pPr>
      <w:r w:rsidRPr="007D58E0">
        <w:rPr>
          <w:rFonts w:ascii="Arial" w:hAnsi="Arial" w:cs="Arial"/>
          <w:sz w:val="20"/>
          <w:szCs w:val="20"/>
        </w:rPr>
        <w:t xml:space="preserve">V priebehu </w:t>
      </w:r>
      <w:r w:rsidR="007D58E0" w:rsidRPr="007D58E0">
        <w:rPr>
          <w:rFonts w:ascii="Arial" w:hAnsi="Arial" w:cs="Arial"/>
          <w:sz w:val="20"/>
          <w:szCs w:val="20"/>
        </w:rPr>
        <w:t>1</w:t>
      </w:r>
      <w:r w:rsidRPr="007D58E0">
        <w:rPr>
          <w:rFonts w:ascii="Arial" w:hAnsi="Arial" w:cs="Arial"/>
          <w:sz w:val="20"/>
          <w:szCs w:val="20"/>
        </w:rPr>
        <w:t>. štvrťroka 20</w:t>
      </w:r>
      <w:r w:rsidR="00E4619C" w:rsidRPr="007D58E0">
        <w:rPr>
          <w:rFonts w:ascii="Arial" w:hAnsi="Arial" w:cs="Arial"/>
          <w:sz w:val="20"/>
          <w:szCs w:val="20"/>
        </w:rPr>
        <w:t>2</w:t>
      </w:r>
      <w:r w:rsidR="007D58E0" w:rsidRPr="007D58E0">
        <w:rPr>
          <w:rFonts w:ascii="Arial" w:hAnsi="Arial" w:cs="Arial"/>
          <w:sz w:val="20"/>
          <w:szCs w:val="20"/>
        </w:rPr>
        <w:t>1</w:t>
      </w:r>
      <w:r w:rsidRPr="007D58E0">
        <w:rPr>
          <w:rFonts w:ascii="Arial" w:hAnsi="Arial" w:cs="Arial"/>
          <w:sz w:val="20"/>
          <w:szCs w:val="20"/>
        </w:rPr>
        <w:t xml:space="preserve"> nebolo banke uložené žiadne opatrenie na nápravu. </w:t>
      </w:r>
    </w:p>
    <w:p w14:paraId="35E8A302" w14:textId="77777777" w:rsidR="00AC6C48" w:rsidRPr="007D58E0" w:rsidRDefault="00AC6C48" w:rsidP="00AC6C48">
      <w:pPr>
        <w:ind w:left="390"/>
        <w:contextualSpacing/>
        <w:jc w:val="both"/>
        <w:rPr>
          <w:rFonts w:ascii="Arial" w:hAnsi="Arial" w:cs="Arial"/>
          <w:sz w:val="20"/>
          <w:szCs w:val="20"/>
        </w:rPr>
      </w:pPr>
    </w:p>
    <w:p w14:paraId="38C25E77" w14:textId="77777777" w:rsidR="00AC6C48" w:rsidRPr="007D58E0" w:rsidRDefault="00AC6C48" w:rsidP="00AC6C48">
      <w:pPr>
        <w:numPr>
          <w:ilvl w:val="0"/>
          <w:numId w:val="29"/>
        </w:numPr>
        <w:tabs>
          <w:tab w:val="clear" w:pos="360"/>
          <w:tab w:val="num" w:pos="426"/>
        </w:tabs>
        <w:spacing w:line="240" w:lineRule="auto"/>
        <w:ind w:left="426" w:hanging="426"/>
        <w:contextualSpacing/>
        <w:jc w:val="both"/>
        <w:rPr>
          <w:rFonts w:ascii="Arial" w:hAnsi="Arial" w:cs="Arial"/>
          <w:sz w:val="20"/>
          <w:szCs w:val="20"/>
        </w:rPr>
      </w:pPr>
      <w:r w:rsidRPr="007D58E0">
        <w:rPr>
          <w:rFonts w:ascii="Arial" w:hAnsi="Arial" w:cs="Arial"/>
          <w:b/>
          <w:sz w:val="20"/>
          <w:szCs w:val="20"/>
        </w:rPr>
        <w:t>citácia výrokovej časti právoplatného rozhodnutia, ktorým bola uložená pokuta v priebehu kalendárneho štvrťroka</w:t>
      </w:r>
    </w:p>
    <w:p w14:paraId="13AED3CC" w14:textId="77777777" w:rsidR="00AC6C48" w:rsidRPr="007D58E0" w:rsidRDefault="00AC6C48" w:rsidP="00AC6C48">
      <w:pPr>
        <w:spacing w:line="240" w:lineRule="auto"/>
        <w:ind w:left="390"/>
        <w:contextualSpacing/>
        <w:jc w:val="both"/>
        <w:rPr>
          <w:rFonts w:ascii="Arial" w:hAnsi="Arial" w:cs="Arial"/>
          <w:sz w:val="20"/>
          <w:szCs w:val="20"/>
        </w:rPr>
      </w:pPr>
    </w:p>
    <w:p w14:paraId="35000769" w14:textId="0CBD5795" w:rsidR="00AC6C48" w:rsidRPr="00B13FC6" w:rsidRDefault="006D4876" w:rsidP="00AC6C48">
      <w:pPr>
        <w:spacing w:line="240" w:lineRule="auto"/>
        <w:ind w:left="390"/>
        <w:contextualSpacing/>
        <w:jc w:val="both"/>
        <w:rPr>
          <w:rFonts w:ascii="Arial" w:hAnsi="Arial" w:cs="Arial"/>
          <w:sz w:val="20"/>
          <w:szCs w:val="20"/>
        </w:rPr>
      </w:pPr>
      <w:r w:rsidRPr="007D58E0">
        <w:rPr>
          <w:rFonts w:ascii="Arial" w:hAnsi="Arial" w:cs="Arial"/>
          <w:sz w:val="20"/>
          <w:szCs w:val="20"/>
        </w:rPr>
        <w:t xml:space="preserve">V priebehu </w:t>
      </w:r>
      <w:r w:rsidR="007D58E0" w:rsidRPr="007D58E0">
        <w:rPr>
          <w:rFonts w:ascii="Arial" w:hAnsi="Arial" w:cs="Arial"/>
          <w:sz w:val="20"/>
          <w:szCs w:val="20"/>
        </w:rPr>
        <w:t>1</w:t>
      </w:r>
      <w:r w:rsidR="00E4619C" w:rsidRPr="007D58E0">
        <w:rPr>
          <w:rFonts w:ascii="Arial" w:hAnsi="Arial" w:cs="Arial"/>
          <w:sz w:val="20"/>
          <w:szCs w:val="20"/>
        </w:rPr>
        <w:t>. štvrťroka 202</w:t>
      </w:r>
      <w:r w:rsidR="007D58E0" w:rsidRPr="007D58E0">
        <w:rPr>
          <w:rFonts w:ascii="Arial" w:hAnsi="Arial" w:cs="Arial"/>
          <w:sz w:val="20"/>
          <w:szCs w:val="20"/>
        </w:rPr>
        <w:t>1</w:t>
      </w:r>
      <w:r w:rsidR="00AC6C48" w:rsidRPr="007D58E0">
        <w:rPr>
          <w:rFonts w:ascii="Arial" w:hAnsi="Arial" w:cs="Arial"/>
          <w:sz w:val="20"/>
          <w:szCs w:val="20"/>
        </w:rPr>
        <w:t xml:space="preserve"> nebola banke uložená žiadna pokuta.</w:t>
      </w:r>
      <w:r w:rsidR="00AC6C48" w:rsidRPr="00B13FC6">
        <w:rPr>
          <w:rFonts w:ascii="Arial" w:hAnsi="Arial" w:cs="Arial"/>
          <w:sz w:val="20"/>
          <w:szCs w:val="20"/>
        </w:rPr>
        <w:t xml:space="preserve">  </w:t>
      </w:r>
    </w:p>
    <w:p w14:paraId="4F5803D8" w14:textId="77777777" w:rsidR="009A2892" w:rsidRPr="00B13FC6" w:rsidRDefault="009A2892" w:rsidP="00C60CC2">
      <w:pPr>
        <w:spacing w:line="240" w:lineRule="auto"/>
        <w:ind w:left="390"/>
        <w:contextualSpacing/>
        <w:jc w:val="both"/>
        <w:rPr>
          <w:rFonts w:ascii="Arial" w:hAnsi="Arial" w:cs="Arial"/>
          <w:sz w:val="20"/>
          <w:szCs w:val="20"/>
        </w:rPr>
      </w:pPr>
    </w:p>
    <w:p w14:paraId="7E984AF5" w14:textId="77777777" w:rsidR="00C60CC2" w:rsidRPr="00B13FC6" w:rsidRDefault="00C60CC2" w:rsidP="00C60CC2">
      <w:pPr>
        <w:spacing w:after="0" w:line="240" w:lineRule="auto"/>
        <w:jc w:val="center"/>
        <w:rPr>
          <w:rFonts w:ascii="Arial" w:eastAsia="Times New Roman" w:hAnsi="Arial" w:cs="Arial"/>
          <w:b/>
          <w:bCs/>
          <w:sz w:val="26"/>
          <w:szCs w:val="26"/>
        </w:rPr>
      </w:pPr>
    </w:p>
    <w:p w14:paraId="3380A2DF" w14:textId="77777777" w:rsidR="00C60CC2" w:rsidRPr="007D58E0" w:rsidRDefault="00C60CC2" w:rsidP="00C60CC2">
      <w:pPr>
        <w:spacing w:after="0" w:line="240" w:lineRule="auto"/>
        <w:jc w:val="center"/>
        <w:rPr>
          <w:rFonts w:ascii="Arial" w:eastAsia="Times New Roman" w:hAnsi="Arial" w:cs="Arial"/>
          <w:b/>
          <w:bCs/>
          <w:sz w:val="26"/>
          <w:szCs w:val="26"/>
        </w:rPr>
      </w:pPr>
      <w:r w:rsidRPr="00003B88">
        <w:rPr>
          <w:rFonts w:ascii="Arial" w:eastAsia="Times New Roman" w:hAnsi="Arial" w:cs="Arial"/>
          <w:b/>
          <w:bCs/>
          <w:sz w:val="26"/>
          <w:szCs w:val="26"/>
        </w:rPr>
        <w:t>§ 1 ods. (2)  Informácie o finančných ukazovateľoch banky</w:t>
      </w:r>
    </w:p>
    <w:p w14:paraId="68F5273E" w14:textId="77777777" w:rsidR="00C60CC2" w:rsidRPr="007D58E0" w:rsidRDefault="00C60CC2" w:rsidP="00C60CC2">
      <w:pPr>
        <w:spacing w:after="0" w:line="240" w:lineRule="auto"/>
        <w:jc w:val="center"/>
        <w:rPr>
          <w:rFonts w:ascii="Arial" w:eastAsia="Times New Roman" w:hAnsi="Arial" w:cs="Arial"/>
          <w:b/>
          <w:bCs/>
          <w:sz w:val="26"/>
          <w:szCs w:val="26"/>
        </w:rPr>
      </w:pPr>
    </w:p>
    <w:p w14:paraId="1FEF5463" w14:textId="77777777" w:rsidR="00C60CC2" w:rsidRPr="007D58E0" w:rsidRDefault="00C60CC2" w:rsidP="00C60CC2">
      <w:pPr>
        <w:pStyle w:val="ListParagraph"/>
        <w:numPr>
          <w:ilvl w:val="0"/>
          <w:numId w:val="2"/>
        </w:numPr>
        <w:spacing w:after="0"/>
        <w:ind w:left="426" w:hanging="426"/>
        <w:jc w:val="both"/>
        <w:rPr>
          <w:rFonts w:ascii="Arial" w:eastAsia="Times New Roman" w:hAnsi="Arial" w:cs="Arial"/>
          <w:b/>
          <w:bCs/>
          <w:sz w:val="20"/>
          <w:szCs w:val="20"/>
        </w:rPr>
      </w:pPr>
      <w:r w:rsidRPr="007D58E0">
        <w:rPr>
          <w:rFonts w:ascii="Arial" w:eastAsia="Times New Roman" w:hAnsi="Arial" w:cs="Arial"/>
          <w:b/>
          <w:bCs/>
          <w:sz w:val="20"/>
          <w:szCs w:val="20"/>
        </w:rPr>
        <w:t>údaje zo súvahy, uverejnené v súlade s požiadavkami medzinárodného štandardu pre finančné vykazovanie</w:t>
      </w:r>
    </w:p>
    <w:p w14:paraId="3B850BCB" w14:textId="77777777" w:rsidR="00C60CC2" w:rsidRPr="007D58E0" w:rsidRDefault="00C60CC2" w:rsidP="00C60CC2">
      <w:pPr>
        <w:pStyle w:val="ListParagraph"/>
        <w:spacing w:after="0" w:line="240" w:lineRule="auto"/>
        <w:jc w:val="both"/>
        <w:rPr>
          <w:rFonts w:ascii="Arial" w:eastAsia="Times New Roman" w:hAnsi="Arial" w:cs="Arial"/>
          <w:bCs/>
          <w:sz w:val="20"/>
          <w:szCs w:val="20"/>
        </w:rPr>
      </w:pPr>
    </w:p>
    <w:p w14:paraId="7A223C91" w14:textId="13886726" w:rsidR="00C60CC2" w:rsidRPr="00B13FC6" w:rsidRDefault="00C60CC2" w:rsidP="00C60CC2">
      <w:pPr>
        <w:spacing w:after="0"/>
        <w:ind w:left="426"/>
        <w:jc w:val="both"/>
        <w:rPr>
          <w:rFonts w:ascii="Arial" w:eastAsia="Times New Roman" w:hAnsi="Arial" w:cs="Arial"/>
          <w:bCs/>
          <w:sz w:val="20"/>
          <w:szCs w:val="20"/>
        </w:rPr>
      </w:pPr>
      <w:r w:rsidRPr="007D58E0">
        <w:rPr>
          <w:rFonts w:ascii="Arial" w:eastAsia="Times New Roman" w:hAnsi="Arial" w:cs="Arial"/>
          <w:bCs/>
          <w:sz w:val="20"/>
          <w:szCs w:val="20"/>
        </w:rPr>
        <w:t xml:space="preserve">Uvedené v účtovnej závierke za obdobie končiace sa </w:t>
      </w:r>
      <w:r w:rsidR="00E758CD" w:rsidRPr="007D58E0">
        <w:rPr>
          <w:rFonts w:ascii="Arial" w:eastAsia="Times New Roman" w:hAnsi="Arial" w:cs="Arial"/>
          <w:bCs/>
          <w:sz w:val="20"/>
          <w:szCs w:val="20"/>
        </w:rPr>
        <w:t>3</w:t>
      </w:r>
      <w:r w:rsidR="00422481" w:rsidRPr="007D58E0">
        <w:rPr>
          <w:rFonts w:ascii="Arial" w:eastAsia="Times New Roman" w:hAnsi="Arial" w:cs="Arial"/>
          <w:bCs/>
          <w:sz w:val="20"/>
          <w:szCs w:val="20"/>
        </w:rPr>
        <w:t>1</w:t>
      </w:r>
      <w:r w:rsidR="00E758CD" w:rsidRPr="007D58E0">
        <w:rPr>
          <w:rFonts w:ascii="Arial" w:eastAsia="Times New Roman" w:hAnsi="Arial" w:cs="Arial"/>
          <w:bCs/>
          <w:sz w:val="20"/>
          <w:szCs w:val="20"/>
        </w:rPr>
        <w:t>.</w:t>
      </w:r>
      <w:r w:rsidR="007D58E0">
        <w:rPr>
          <w:rFonts w:ascii="Arial" w:eastAsia="Times New Roman" w:hAnsi="Arial" w:cs="Arial"/>
          <w:bCs/>
          <w:sz w:val="20"/>
          <w:szCs w:val="20"/>
        </w:rPr>
        <w:t>03</w:t>
      </w:r>
      <w:r w:rsidR="00E758CD" w:rsidRPr="007D58E0">
        <w:rPr>
          <w:rFonts w:ascii="Arial" w:eastAsia="Times New Roman" w:hAnsi="Arial" w:cs="Arial"/>
          <w:bCs/>
          <w:sz w:val="20"/>
          <w:szCs w:val="20"/>
        </w:rPr>
        <w:t>.202</w:t>
      </w:r>
      <w:r w:rsidR="007D58E0">
        <w:rPr>
          <w:rFonts w:ascii="Arial" w:eastAsia="Times New Roman" w:hAnsi="Arial" w:cs="Arial"/>
          <w:bCs/>
          <w:sz w:val="20"/>
          <w:szCs w:val="20"/>
        </w:rPr>
        <w:t>1</w:t>
      </w:r>
      <w:r w:rsidRPr="007D58E0">
        <w:rPr>
          <w:rFonts w:ascii="Arial" w:eastAsia="Times New Roman" w:hAnsi="Arial" w:cs="Arial"/>
          <w:bCs/>
          <w:sz w:val="20"/>
          <w:szCs w:val="20"/>
        </w:rPr>
        <w:t>.</w:t>
      </w:r>
    </w:p>
    <w:p w14:paraId="0E7A6E01" w14:textId="77777777" w:rsidR="00C60CC2" w:rsidRPr="00B13FC6" w:rsidRDefault="00C60CC2" w:rsidP="00C60CC2">
      <w:pPr>
        <w:pStyle w:val="ListParagraph"/>
        <w:spacing w:after="0" w:line="240" w:lineRule="auto"/>
        <w:jc w:val="both"/>
        <w:rPr>
          <w:rFonts w:ascii="Arial" w:eastAsia="Times New Roman" w:hAnsi="Arial" w:cs="Arial"/>
          <w:bCs/>
          <w:sz w:val="20"/>
          <w:szCs w:val="20"/>
        </w:rPr>
      </w:pPr>
    </w:p>
    <w:p w14:paraId="09DAE26D" w14:textId="77777777" w:rsidR="00C60CC2" w:rsidRPr="00B13FC6" w:rsidRDefault="00C60CC2" w:rsidP="00C60CC2">
      <w:pPr>
        <w:pStyle w:val="ListParagraph"/>
        <w:numPr>
          <w:ilvl w:val="0"/>
          <w:numId w:val="2"/>
        </w:numPr>
        <w:spacing w:after="0"/>
        <w:ind w:left="426" w:hanging="426"/>
        <w:jc w:val="both"/>
        <w:rPr>
          <w:rFonts w:ascii="Arial" w:eastAsia="Times New Roman" w:hAnsi="Arial" w:cs="Arial"/>
          <w:b/>
          <w:bCs/>
          <w:sz w:val="18"/>
          <w:szCs w:val="18"/>
        </w:rPr>
      </w:pPr>
      <w:r w:rsidRPr="00B13FC6">
        <w:rPr>
          <w:rFonts w:ascii="Arial" w:eastAsia="Times New Roman" w:hAnsi="Arial" w:cs="Arial"/>
          <w:b/>
          <w:bCs/>
          <w:sz w:val="20"/>
          <w:szCs w:val="20"/>
        </w:rPr>
        <w:t>údaje z výkazu ziskov a strát, uverejnené v súlade s požiadavkami medzinárodného štandardu pre finančné vykazovanie</w:t>
      </w:r>
    </w:p>
    <w:p w14:paraId="2D2D1CB5" w14:textId="77777777" w:rsidR="00C60CC2" w:rsidRPr="00B13FC6" w:rsidRDefault="00C60CC2" w:rsidP="00C60CC2">
      <w:pPr>
        <w:pStyle w:val="ListParagraph"/>
        <w:spacing w:after="0"/>
        <w:ind w:left="426"/>
        <w:jc w:val="both"/>
        <w:rPr>
          <w:rFonts w:ascii="Arial" w:eastAsia="Times New Roman" w:hAnsi="Arial" w:cs="Arial"/>
          <w:b/>
          <w:bCs/>
          <w:sz w:val="18"/>
          <w:szCs w:val="18"/>
        </w:rPr>
      </w:pPr>
    </w:p>
    <w:p w14:paraId="36B30C91" w14:textId="19304025" w:rsidR="00C60CC2" w:rsidRDefault="00C60CC2" w:rsidP="00C60CC2">
      <w:pPr>
        <w:spacing w:after="0"/>
        <w:jc w:val="both"/>
        <w:rPr>
          <w:rFonts w:ascii="Arial" w:eastAsia="Times New Roman" w:hAnsi="Arial" w:cs="Arial"/>
          <w:bCs/>
          <w:sz w:val="20"/>
          <w:szCs w:val="20"/>
        </w:rPr>
      </w:pPr>
      <w:r w:rsidRPr="00B13FC6">
        <w:rPr>
          <w:rFonts w:ascii="Arial" w:eastAsia="Times New Roman" w:hAnsi="Arial" w:cs="Arial"/>
          <w:bCs/>
          <w:sz w:val="20"/>
          <w:szCs w:val="20"/>
        </w:rPr>
        <w:t xml:space="preserve">         Uvedené v účtovnej závierke za obdobie končiace sa </w:t>
      </w:r>
      <w:r w:rsidR="00E758CD">
        <w:rPr>
          <w:rFonts w:ascii="Arial" w:eastAsia="Times New Roman" w:hAnsi="Arial" w:cs="Arial"/>
          <w:bCs/>
          <w:sz w:val="20"/>
          <w:szCs w:val="20"/>
        </w:rPr>
        <w:t>3</w:t>
      </w:r>
      <w:r w:rsidR="00422481">
        <w:rPr>
          <w:rFonts w:ascii="Arial" w:eastAsia="Times New Roman" w:hAnsi="Arial" w:cs="Arial"/>
          <w:bCs/>
          <w:sz w:val="20"/>
          <w:szCs w:val="20"/>
        </w:rPr>
        <w:t>1</w:t>
      </w:r>
      <w:r w:rsidR="00E758CD">
        <w:rPr>
          <w:rFonts w:ascii="Arial" w:eastAsia="Times New Roman" w:hAnsi="Arial" w:cs="Arial"/>
          <w:bCs/>
          <w:sz w:val="20"/>
          <w:szCs w:val="20"/>
        </w:rPr>
        <w:t>.</w:t>
      </w:r>
      <w:r w:rsidR="007D58E0">
        <w:rPr>
          <w:rFonts w:ascii="Arial" w:eastAsia="Times New Roman" w:hAnsi="Arial" w:cs="Arial"/>
          <w:bCs/>
          <w:sz w:val="20"/>
          <w:szCs w:val="20"/>
        </w:rPr>
        <w:t>03</w:t>
      </w:r>
      <w:r w:rsidR="00E758CD">
        <w:rPr>
          <w:rFonts w:ascii="Arial" w:eastAsia="Times New Roman" w:hAnsi="Arial" w:cs="Arial"/>
          <w:bCs/>
          <w:sz w:val="20"/>
          <w:szCs w:val="20"/>
        </w:rPr>
        <w:t>.202</w:t>
      </w:r>
      <w:r w:rsidR="007D6DF2">
        <w:rPr>
          <w:rFonts w:ascii="Arial" w:eastAsia="Times New Roman" w:hAnsi="Arial" w:cs="Arial"/>
          <w:bCs/>
          <w:sz w:val="20"/>
          <w:szCs w:val="20"/>
        </w:rPr>
        <w:t>1</w:t>
      </w:r>
      <w:r w:rsidRPr="00B13FC6">
        <w:rPr>
          <w:rFonts w:ascii="Arial" w:eastAsia="Times New Roman" w:hAnsi="Arial" w:cs="Arial"/>
          <w:bCs/>
          <w:sz w:val="20"/>
          <w:szCs w:val="20"/>
        </w:rPr>
        <w:t>.</w:t>
      </w:r>
    </w:p>
    <w:p w14:paraId="4C19405C" w14:textId="77777777" w:rsidR="00855D02" w:rsidRPr="00B13FC6" w:rsidRDefault="00855D02" w:rsidP="00C60CC2">
      <w:pPr>
        <w:spacing w:after="0"/>
        <w:jc w:val="both"/>
        <w:rPr>
          <w:rFonts w:ascii="Arial" w:eastAsia="Times New Roman" w:hAnsi="Arial" w:cs="Arial"/>
          <w:bCs/>
          <w:sz w:val="20"/>
          <w:szCs w:val="20"/>
        </w:rPr>
      </w:pPr>
    </w:p>
    <w:p w14:paraId="0DF5F517" w14:textId="77777777" w:rsidR="00C60CC2" w:rsidRPr="00B13FC6" w:rsidRDefault="00C60CC2" w:rsidP="00C60CC2">
      <w:pPr>
        <w:pStyle w:val="ListParagraph"/>
        <w:spacing w:after="0" w:line="240" w:lineRule="auto"/>
        <w:rPr>
          <w:rFonts w:ascii="Arial" w:eastAsia="Times New Roman" w:hAnsi="Arial" w:cs="Arial"/>
          <w:b/>
          <w:bCs/>
          <w:sz w:val="20"/>
          <w:szCs w:val="20"/>
        </w:rPr>
      </w:pPr>
    </w:p>
    <w:p w14:paraId="2FC821BD" w14:textId="60B8D321" w:rsidR="00C60CC2" w:rsidRPr="00003B88" w:rsidRDefault="00C60CC2" w:rsidP="00C60CC2">
      <w:pPr>
        <w:pStyle w:val="ListParagraph"/>
        <w:numPr>
          <w:ilvl w:val="0"/>
          <w:numId w:val="2"/>
        </w:numPr>
        <w:spacing w:line="240" w:lineRule="auto"/>
        <w:rPr>
          <w:rFonts w:ascii="Arial" w:hAnsi="Arial" w:cs="Arial"/>
          <w:sz w:val="20"/>
          <w:szCs w:val="20"/>
        </w:rPr>
      </w:pPr>
      <w:r w:rsidRPr="00003B88">
        <w:rPr>
          <w:rFonts w:ascii="Arial" w:hAnsi="Arial" w:cs="Arial"/>
          <w:b/>
          <w:sz w:val="20"/>
          <w:szCs w:val="20"/>
        </w:rPr>
        <w:t>-  e)</w:t>
      </w:r>
      <w:r w:rsidR="005E04B1" w:rsidRPr="00003B88">
        <w:rPr>
          <w:rFonts w:ascii="Arial" w:hAnsi="Arial" w:cs="Arial"/>
          <w:b/>
          <w:sz w:val="20"/>
          <w:szCs w:val="20"/>
        </w:rPr>
        <w:t xml:space="preserve"> súhrnná výška expozícií</w:t>
      </w:r>
      <w:r w:rsidRPr="00003B88">
        <w:rPr>
          <w:rFonts w:ascii="Arial" w:hAnsi="Arial" w:cs="Arial"/>
          <w:b/>
          <w:sz w:val="20"/>
          <w:szCs w:val="20"/>
        </w:rPr>
        <w:t>:</w:t>
      </w:r>
      <w:r w:rsidRPr="00003B88">
        <w:rPr>
          <w:rFonts w:ascii="Arial" w:hAnsi="Arial" w:cs="Arial"/>
          <w:sz w:val="20"/>
          <w:szCs w:val="20"/>
        </w:rPr>
        <w:t xml:space="preserve"> </w:t>
      </w:r>
    </w:p>
    <w:tbl>
      <w:tblPr>
        <w:tblW w:w="10869" w:type="dxa"/>
        <w:tblInd w:w="-708" w:type="dxa"/>
        <w:tblCellMar>
          <w:left w:w="70" w:type="dxa"/>
          <w:right w:w="70" w:type="dxa"/>
        </w:tblCellMar>
        <w:tblLook w:val="04A0" w:firstRow="1" w:lastRow="0" w:firstColumn="1" w:lastColumn="0" w:noHBand="0" w:noVBand="1"/>
      </w:tblPr>
      <w:tblGrid>
        <w:gridCol w:w="5628"/>
        <w:gridCol w:w="1711"/>
        <w:gridCol w:w="1714"/>
        <w:gridCol w:w="1816"/>
      </w:tblGrid>
      <w:tr w:rsidR="009E04EA" w:rsidRPr="00D96A99" w14:paraId="54C88E8F" w14:textId="77777777" w:rsidTr="00D045F3">
        <w:trPr>
          <w:trHeight w:val="1968"/>
        </w:trPr>
        <w:tc>
          <w:tcPr>
            <w:tcW w:w="5628" w:type="dxa"/>
            <w:tcBorders>
              <w:top w:val="single" w:sz="4" w:space="0" w:color="auto"/>
              <w:left w:val="nil"/>
              <w:bottom w:val="single" w:sz="4" w:space="0" w:color="auto"/>
              <w:right w:val="nil"/>
            </w:tcBorders>
            <w:shd w:val="clear" w:color="auto" w:fill="auto"/>
            <w:noWrap/>
            <w:vAlign w:val="center"/>
            <w:hideMark/>
          </w:tcPr>
          <w:p w14:paraId="2BC313D9" w14:textId="405BADC3" w:rsidR="009E04EA" w:rsidRPr="00D96A99" w:rsidRDefault="009E04EA" w:rsidP="009E04EA">
            <w:pPr>
              <w:spacing w:after="0" w:line="240" w:lineRule="auto"/>
              <w:rPr>
                <w:rFonts w:ascii="Arial" w:eastAsia="Times New Roman" w:hAnsi="Arial" w:cs="Arial"/>
                <w:b/>
                <w:bCs/>
                <w:sz w:val="18"/>
                <w:szCs w:val="18"/>
              </w:rPr>
            </w:pPr>
            <w:r w:rsidRPr="00D96A99">
              <w:rPr>
                <w:rFonts w:ascii="Arial" w:eastAsia="Times New Roman" w:hAnsi="Arial" w:cs="Arial"/>
                <w:b/>
                <w:bCs/>
                <w:sz w:val="18"/>
                <w:szCs w:val="18"/>
              </w:rPr>
              <w:t>Ukazovateľ</w:t>
            </w:r>
          </w:p>
        </w:tc>
        <w:tc>
          <w:tcPr>
            <w:tcW w:w="1711" w:type="dxa"/>
            <w:tcBorders>
              <w:top w:val="single" w:sz="4" w:space="0" w:color="auto"/>
              <w:left w:val="nil"/>
              <w:bottom w:val="single" w:sz="4" w:space="0" w:color="auto"/>
              <w:right w:val="nil"/>
            </w:tcBorders>
            <w:shd w:val="clear" w:color="000000" w:fill="FFFFFF"/>
            <w:vAlign w:val="bottom"/>
            <w:hideMark/>
          </w:tcPr>
          <w:p w14:paraId="75DD2A8B" w14:textId="7F9BDD3A" w:rsidR="009E04EA" w:rsidRPr="00D96A99" w:rsidRDefault="009E04EA" w:rsidP="009E04EA">
            <w:pPr>
              <w:spacing w:after="0" w:line="240" w:lineRule="auto"/>
              <w:jc w:val="center"/>
              <w:rPr>
                <w:rFonts w:ascii="Arial" w:eastAsia="Times New Roman" w:hAnsi="Arial" w:cs="Arial"/>
                <w:b/>
                <w:bCs/>
                <w:sz w:val="18"/>
                <w:szCs w:val="18"/>
              </w:rPr>
            </w:pPr>
            <w:r w:rsidRPr="00D96A99">
              <w:rPr>
                <w:rFonts w:ascii="Arial" w:eastAsia="Times New Roman" w:hAnsi="Arial" w:cs="Arial"/>
                <w:b/>
                <w:bCs/>
                <w:sz w:val="18"/>
                <w:szCs w:val="18"/>
              </w:rPr>
              <w:t xml:space="preserve">Súhrnná výška expozícií  bez výrazného zvýšenia kreditného rizika od prvotného vykázania </w:t>
            </w:r>
          </w:p>
        </w:tc>
        <w:tc>
          <w:tcPr>
            <w:tcW w:w="1714" w:type="dxa"/>
            <w:tcBorders>
              <w:top w:val="single" w:sz="4" w:space="0" w:color="auto"/>
              <w:left w:val="nil"/>
              <w:bottom w:val="single" w:sz="4" w:space="0" w:color="auto"/>
              <w:right w:val="nil"/>
            </w:tcBorders>
            <w:shd w:val="clear" w:color="000000" w:fill="FFFFFF"/>
            <w:vAlign w:val="bottom"/>
            <w:hideMark/>
          </w:tcPr>
          <w:p w14:paraId="40B617F9" w14:textId="51075E55" w:rsidR="009E04EA" w:rsidRPr="00D96A99" w:rsidRDefault="009E04EA" w:rsidP="009E04EA">
            <w:pPr>
              <w:spacing w:after="0" w:line="240" w:lineRule="auto"/>
              <w:jc w:val="center"/>
              <w:rPr>
                <w:rFonts w:ascii="Arial" w:eastAsia="Times New Roman" w:hAnsi="Arial" w:cs="Arial"/>
                <w:b/>
                <w:bCs/>
                <w:sz w:val="18"/>
                <w:szCs w:val="18"/>
              </w:rPr>
            </w:pPr>
            <w:r w:rsidRPr="00D96A99">
              <w:rPr>
                <w:rFonts w:ascii="Arial" w:eastAsia="Times New Roman" w:hAnsi="Arial" w:cs="Arial"/>
                <w:b/>
                <w:bCs/>
                <w:sz w:val="18"/>
                <w:szCs w:val="18"/>
              </w:rPr>
              <w:t>Súhrnná výška expozícií s výrazným zvýšením kreditného rizika od prvotného vykázania, ale nie znehodnotené</w:t>
            </w:r>
          </w:p>
        </w:tc>
        <w:tc>
          <w:tcPr>
            <w:tcW w:w="1816" w:type="dxa"/>
            <w:tcBorders>
              <w:top w:val="single" w:sz="4" w:space="0" w:color="auto"/>
              <w:left w:val="nil"/>
              <w:bottom w:val="single" w:sz="4" w:space="0" w:color="auto"/>
              <w:right w:val="nil"/>
            </w:tcBorders>
            <w:shd w:val="clear" w:color="000000" w:fill="FFFFFF"/>
            <w:vAlign w:val="bottom"/>
            <w:hideMark/>
          </w:tcPr>
          <w:p w14:paraId="24C28081" w14:textId="6FCA1D51" w:rsidR="009E04EA" w:rsidRPr="00D96A99" w:rsidRDefault="009E04EA" w:rsidP="009E04EA">
            <w:pPr>
              <w:spacing w:after="0" w:line="240" w:lineRule="auto"/>
              <w:jc w:val="center"/>
              <w:rPr>
                <w:rFonts w:ascii="Arial" w:eastAsia="Times New Roman" w:hAnsi="Arial" w:cs="Arial"/>
                <w:b/>
                <w:bCs/>
                <w:sz w:val="18"/>
                <w:szCs w:val="18"/>
              </w:rPr>
            </w:pPr>
            <w:r w:rsidRPr="00D96A99">
              <w:rPr>
                <w:rFonts w:ascii="Arial" w:eastAsia="Times New Roman" w:hAnsi="Arial" w:cs="Arial"/>
                <w:b/>
                <w:bCs/>
                <w:sz w:val="18"/>
                <w:szCs w:val="18"/>
              </w:rPr>
              <w:t>Súhrnná výška expozícií s výrazným zvýšením kreditného rizika od prvotného vykázania, znehodnotené</w:t>
            </w:r>
          </w:p>
        </w:tc>
      </w:tr>
      <w:tr w:rsidR="00C82C87" w:rsidRPr="00D96A99" w14:paraId="5A6BC2C8" w14:textId="77777777" w:rsidTr="00C27990">
        <w:trPr>
          <w:trHeight w:val="245"/>
        </w:trPr>
        <w:tc>
          <w:tcPr>
            <w:tcW w:w="5628" w:type="dxa"/>
            <w:tcBorders>
              <w:top w:val="nil"/>
              <w:left w:val="nil"/>
              <w:bottom w:val="nil"/>
              <w:right w:val="nil"/>
            </w:tcBorders>
            <w:shd w:val="clear" w:color="000000" w:fill="FFFFFF"/>
            <w:vAlign w:val="center"/>
            <w:hideMark/>
          </w:tcPr>
          <w:p w14:paraId="2D11D88B" w14:textId="4C67A745"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ústredným vládam alebo centrálnym bankám</w:t>
            </w:r>
          </w:p>
        </w:tc>
        <w:tc>
          <w:tcPr>
            <w:tcW w:w="1711" w:type="dxa"/>
            <w:tcBorders>
              <w:top w:val="nil"/>
              <w:left w:val="nil"/>
              <w:bottom w:val="nil"/>
              <w:right w:val="nil"/>
            </w:tcBorders>
            <w:shd w:val="clear" w:color="000000" w:fill="FFFFFF"/>
            <w:noWrap/>
            <w:hideMark/>
          </w:tcPr>
          <w:p w14:paraId="20AD291C" w14:textId="66EA6C9E" w:rsidR="00C82C87" w:rsidRPr="00D96A99" w:rsidRDefault="00C82C87" w:rsidP="00C82C87">
            <w:pPr>
              <w:spacing w:after="0" w:line="240" w:lineRule="auto"/>
              <w:jc w:val="center"/>
              <w:rPr>
                <w:rFonts w:ascii="Arial" w:eastAsia="Times New Roman" w:hAnsi="Arial" w:cs="Arial"/>
                <w:color w:val="002060"/>
                <w:sz w:val="18"/>
                <w:szCs w:val="18"/>
              </w:rPr>
            </w:pPr>
            <w:r w:rsidRPr="00151291">
              <w:t>174 914</w:t>
            </w:r>
          </w:p>
        </w:tc>
        <w:tc>
          <w:tcPr>
            <w:tcW w:w="1714" w:type="dxa"/>
            <w:tcBorders>
              <w:top w:val="nil"/>
              <w:left w:val="nil"/>
              <w:bottom w:val="nil"/>
              <w:right w:val="nil"/>
            </w:tcBorders>
            <w:shd w:val="clear" w:color="000000" w:fill="FFFFFF"/>
            <w:noWrap/>
            <w:hideMark/>
          </w:tcPr>
          <w:p w14:paraId="2E0EDE21" w14:textId="5BD5D74A"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nil"/>
              <w:right w:val="nil"/>
            </w:tcBorders>
            <w:shd w:val="clear" w:color="000000" w:fill="FFFFFF"/>
            <w:noWrap/>
            <w:hideMark/>
          </w:tcPr>
          <w:p w14:paraId="0B6C725B" w14:textId="671267BC"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44E210EC" w14:textId="77777777" w:rsidTr="00C27990">
        <w:trPr>
          <w:trHeight w:val="245"/>
        </w:trPr>
        <w:tc>
          <w:tcPr>
            <w:tcW w:w="5628" w:type="dxa"/>
            <w:tcBorders>
              <w:top w:val="single" w:sz="4" w:space="0" w:color="BFBFBF"/>
              <w:left w:val="nil"/>
              <w:bottom w:val="single" w:sz="4" w:space="0" w:color="BFBFBF"/>
              <w:right w:val="nil"/>
            </w:tcBorders>
            <w:shd w:val="clear" w:color="000000" w:fill="FFFFFF"/>
            <w:vAlign w:val="center"/>
            <w:hideMark/>
          </w:tcPr>
          <w:p w14:paraId="731C558F" w14:textId="3B22F3FA"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regionálnym vládam alebo miestnym orgánom</w:t>
            </w:r>
          </w:p>
        </w:tc>
        <w:tc>
          <w:tcPr>
            <w:tcW w:w="1711" w:type="dxa"/>
            <w:tcBorders>
              <w:top w:val="single" w:sz="4" w:space="0" w:color="BFBFBF"/>
              <w:left w:val="nil"/>
              <w:bottom w:val="single" w:sz="4" w:space="0" w:color="BFBFBF"/>
              <w:right w:val="nil"/>
            </w:tcBorders>
            <w:shd w:val="clear" w:color="000000" w:fill="FFFFFF"/>
            <w:noWrap/>
            <w:hideMark/>
          </w:tcPr>
          <w:p w14:paraId="210B462A" w14:textId="6FF8B3BE"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single" w:sz="4" w:space="0" w:color="BFBFBF"/>
              <w:left w:val="nil"/>
              <w:bottom w:val="single" w:sz="4" w:space="0" w:color="BFBFBF"/>
              <w:right w:val="nil"/>
            </w:tcBorders>
            <w:shd w:val="clear" w:color="000000" w:fill="FFFFFF"/>
            <w:noWrap/>
            <w:hideMark/>
          </w:tcPr>
          <w:p w14:paraId="488F6C6F" w14:textId="3112AAA7"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single" w:sz="4" w:space="0" w:color="BFBFBF"/>
              <w:left w:val="nil"/>
              <w:bottom w:val="single" w:sz="4" w:space="0" w:color="BFBFBF"/>
              <w:right w:val="nil"/>
            </w:tcBorders>
            <w:shd w:val="clear" w:color="000000" w:fill="FFFFFF"/>
            <w:noWrap/>
            <w:hideMark/>
          </w:tcPr>
          <w:p w14:paraId="413FBA7C" w14:textId="3804F82C"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5E036922"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2FAFFA76" w14:textId="634C5FD5"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subjektom verejného sektora</w:t>
            </w:r>
          </w:p>
        </w:tc>
        <w:tc>
          <w:tcPr>
            <w:tcW w:w="1711" w:type="dxa"/>
            <w:tcBorders>
              <w:top w:val="nil"/>
              <w:left w:val="nil"/>
              <w:bottom w:val="single" w:sz="4" w:space="0" w:color="BFBFBF"/>
              <w:right w:val="nil"/>
            </w:tcBorders>
            <w:shd w:val="clear" w:color="000000" w:fill="FFFFFF"/>
            <w:noWrap/>
            <w:hideMark/>
          </w:tcPr>
          <w:p w14:paraId="0D285AB6" w14:textId="02859AE4"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602CA36D" w14:textId="71694C00"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2B8665FD" w14:textId="5A9EBCBD"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34E18842" w14:textId="77777777" w:rsidTr="00C27990">
        <w:trPr>
          <w:trHeight w:val="261"/>
        </w:trPr>
        <w:tc>
          <w:tcPr>
            <w:tcW w:w="5628" w:type="dxa"/>
            <w:tcBorders>
              <w:top w:val="nil"/>
              <w:left w:val="nil"/>
              <w:bottom w:val="single" w:sz="4" w:space="0" w:color="BFBFBF"/>
              <w:right w:val="nil"/>
            </w:tcBorders>
            <w:shd w:val="clear" w:color="000000" w:fill="FFFFFF"/>
            <w:vAlign w:val="center"/>
            <w:hideMark/>
          </w:tcPr>
          <w:p w14:paraId="43E52F78" w14:textId="7918702C"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multilaterálnym rozvojovým bankám</w:t>
            </w:r>
          </w:p>
        </w:tc>
        <w:tc>
          <w:tcPr>
            <w:tcW w:w="1711" w:type="dxa"/>
            <w:tcBorders>
              <w:top w:val="nil"/>
              <w:left w:val="nil"/>
              <w:bottom w:val="single" w:sz="4" w:space="0" w:color="BFBFBF"/>
              <w:right w:val="nil"/>
            </w:tcBorders>
            <w:shd w:val="clear" w:color="000000" w:fill="FFFFFF"/>
            <w:noWrap/>
            <w:hideMark/>
          </w:tcPr>
          <w:p w14:paraId="4A5ADA92" w14:textId="32B40508"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1A7FF3ED" w14:textId="7798F41B"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39BD7941" w14:textId="578731BB"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09C989A3"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4B35170E" w14:textId="174D9014"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medzinárodným organizáciám</w:t>
            </w:r>
          </w:p>
        </w:tc>
        <w:tc>
          <w:tcPr>
            <w:tcW w:w="1711" w:type="dxa"/>
            <w:tcBorders>
              <w:top w:val="nil"/>
              <w:left w:val="nil"/>
              <w:bottom w:val="single" w:sz="4" w:space="0" w:color="BFBFBF"/>
              <w:right w:val="nil"/>
            </w:tcBorders>
            <w:shd w:val="clear" w:color="000000" w:fill="FFFFFF"/>
            <w:noWrap/>
            <w:hideMark/>
          </w:tcPr>
          <w:p w14:paraId="4EC24E13" w14:textId="24D6F26B"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0F3A0E84" w14:textId="666A18C6"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414B88BD" w14:textId="7275D129"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631C8A12"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13B1F6ED" w14:textId="01F06FFB"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inštitúciám</w:t>
            </w:r>
          </w:p>
        </w:tc>
        <w:tc>
          <w:tcPr>
            <w:tcW w:w="1711" w:type="dxa"/>
            <w:tcBorders>
              <w:top w:val="nil"/>
              <w:left w:val="nil"/>
              <w:bottom w:val="single" w:sz="4" w:space="0" w:color="BFBFBF"/>
              <w:right w:val="nil"/>
            </w:tcBorders>
            <w:shd w:val="clear" w:color="000000" w:fill="FFFFFF"/>
            <w:noWrap/>
            <w:hideMark/>
          </w:tcPr>
          <w:p w14:paraId="2D5AAB3B" w14:textId="10AA6255" w:rsidR="00C82C87" w:rsidRPr="00D96A99" w:rsidRDefault="00C82C87" w:rsidP="00C82C87">
            <w:pPr>
              <w:spacing w:after="0" w:line="240" w:lineRule="auto"/>
              <w:jc w:val="center"/>
              <w:rPr>
                <w:rFonts w:ascii="Arial" w:hAnsi="Arial" w:cs="Arial"/>
                <w:color w:val="000000" w:themeColor="text1"/>
                <w:sz w:val="18"/>
                <w:szCs w:val="18"/>
              </w:rPr>
            </w:pPr>
            <w:r w:rsidRPr="00151291">
              <w:t>40 269</w:t>
            </w:r>
          </w:p>
        </w:tc>
        <w:tc>
          <w:tcPr>
            <w:tcW w:w="1714" w:type="dxa"/>
            <w:tcBorders>
              <w:top w:val="nil"/>
              <w:left w:val="nil"/>
              <w:bottom w:val="single" w:sz="4" w:space="0" w:color="BFBFBF"/>
              <w:right w:val="nil"/>
            </w:tcBorders>
            <w:shd w:val="clear" w:color="000000" w:fill="FFFFFF"/>
            <w:noWrap/>
            <w:hideMark/>
          </w:tcPr>
          <w:p w14:paraId="0A67B4B4" w14:textId="3A665C38"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478C0EB1" w14:textId="291BA0D1"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30314986"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58E9B259" w14:textId="222F9617"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podnikateľským subjektom</w:t>
            </w:r>
          </w:p>
        </w:tc>
        <w:tc>
          <w:tcPr>
            <w:tcW w:w="1711" w:type="dxa"/>
            <w:tcBorders>
              <w:top w:val="nil"/>
              <w:left w:val="nil"/>
              <w:bottom w:val="single" w:sz="4" w:space="0" w:color="BFBFBF"/>
              <w:right w:val="nil"/>
            </w:tcBorders>
            <w:shd w:val="clear" w:color="000000" w:fill="FFFFFF"/>
            <w:noWrap/>
            <w:hideMark/>
          </w:tcPr>
          <w:p w14:paraId="186BEA0F" w14:textId="12B94347"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7EFF003C" w14:textId="60FDD803"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17B9063E" w14:textId="2263D57E"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5ADB1408"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6DDE5AB7" w14:textId="52C59BB0" w:rsidR="00C82C87" w:rsidRPr="00D96A99" w:rsidRDefault="00C82C87" w:rsidP="00C82C87">
            <w:pPr>
              <w:spacing w:after="0" w:line="240" w:lineRule="auto"/>
              <w:rPr>
                <w:rFonts w:ascii="Arial" w:eastAsia="Times New Roman" w:hAnsi="Arial" w:cs="Arial"/>
                <w:sz w:val="18"/>
                <w:szCs w:val="18"/>
              </w:rPr>
            </w:pPr>
            <w:proofErr w:type="spellStart"/>
            <w:r w:rsidRPr="00D96A99">
              <w:rPr>
                <w:rFonts w:ascii="Arial" w:eastAsia="Times New Roman" w:hAnsi="Arial" w:cs="Arial"/>
                <w:sz w:val="18"/>
                <w:szCs w:val="18"/>
              </w:rPr>
              <w:t>Retailové</w:t>
            </w:r>
            <w:proofErr w:type="spellEnd"/>
            <w:r w:rsidRPr="00D96A99">
              <w:rPr>
                <w:rFonts w:ascii="Arial" w:eastAsia="Times New Roman" w:hAnsi="Arial" w:cs="Arial"/>
                <w:sz w:val="18"/>
                <w:szCs w:val="18"/>
              </w:rPr>
              <w:t xml:space="preserve"> expozície</w:t>
            </w:r>
          </w:p>
        </w:tc>
        <w:tc>
          <w:tcPr>
            <w:tcW w:w="1711" w:type="dxa"/>
            <w:tcBorders>
              <w:top w:val="nil"/>
              <w:left w:val="nil"/>
              <w:bottom w:val="single" w:sz="4" w:space="0" w:color="BFBFBF"/>
              <w:right w:val="nil"/>
            </w:tcBorders>
            <w:shd w:val="clear" w:color="000000" w:fill="FFFFFF"/>
            <w:noWrap/>
            <w:hideMark/>
          </w:tcPr>
          <w:p w14:paraId="064B11CD" w14:textId="4A418E05"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08F68792" w14:textId="1788A3D0"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74BB91F3" w14:textId="74DF8D7E"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1449D78D"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219C6162" w14:textId="16364E1C"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zabezpečené hypotékami na nehnuteľný majetok</w:t>
            </w:r>
          </w:p>
        </w:tc>
        <w:tc>
          <w:tcPr>
            <w:tcW w:w="1711" w:type="dxa"/>
            <w:tcBorders>
              <w:top w:val="nil"/>
              <w:left w:val="nil"/>
              <w:bottom w:val="single" w:sz="4" w:space="0" w:color="BFBFBF"/>
              <w:right w:val="nil"/>
            </w:tcBorders>
            <w:shd w:val="clear" w:color="000000" w:fill="FFFFFF"/>
            <w:noWrap/>
            <w:hideMark/>
          </w:tcPr>
          <w:p w14:paraId="0750A45A" w14:textId="2FD4DCB6"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3BBDC991" w14:textId="4336C6D8"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7AEA9457" w14:textId="20505E85"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151452DA"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6FDEFF22" w14:textId="7AF53227"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 stave zlyhania</w:t>
            </w:r>
          </w:p>
        </w:tc>
        <w:tc>
          <w:tcPr>
            <w:tcW w:w="1711" w:type="dxa"/>
            <w:tcBorders>
              <w:top w:val="nil"/>
              <w:left w:val="nil"/>
              <w:bottom w:val="single" w:sz="4" w:space="0" w:color="BFBFBF"/>
              <w:right w:val="nil"/>
            </w:tcBorders>
            <w:shd w:val="clear" w:color="000000" w:fill="FFFFFF"/>
            <w:noWrap/>
            <w:hideMark/>
          </w:tcPr>
          <w:p w14:paraId="58EE9D0F" w14:textId="28C3F65F"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550C1CE4" w14:textId="2E53F909"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4CBD4BDE" w14:textId="312D303C" w:rsidR="00C82C87" w:rsidRPr="00D96A99" w:rsidRDefault="00C82C87" w:rsidP="00C82C87">
            <w:pPr>
              <w:spacing w:after="0" w:line="240" w:lineRule="auto"/>
              <w:jc w:val="center"/>
              <w:rPr>
                <w:rFonts w:ascii="Arial" w:eastAsia="Times New Roman" w:hAnsi="Arial" w:cs="Arial"/>
                <w:color w:val="000000" w:themeColor="text1"/>
                <w:sz w:val="18"/>
                <w:szCs w:val="18"/>
              </w:rPr>
            </w:pPr>
            <w:r w:rsidRPr="00151291">
              <w:t>21 334</w:t>
            </w:r>
          </w:p>
        </w:tc>
      </w:tr>
      <w:tr w:rsidR="00C82C87" w:rsidRPr="00D96A99" w14:paraId="7520F0C0"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47BB2872" w14:textId="54257CA5"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s ktorými súvisí osobitne vysoké riziko</w:t>
            </w:r>
          </w:p>
        </w:tc>
        <w:tc>
          <w:tcPr>
            <w:tcW w:w="1711" w:type="dxa"/>
            <w:tcBorders>
              <w:top w:val="nil"/>
              <w:left w:val="nil"/>
              <w:bottom w:val="single" w:sz="4" w:space="0" w:color="BFBFBF"/>
              <w:right w:val="nil"/>
            </w:tcBorders>
            <w:shd w:val="clear" w:color="000000" w:fill="FFFFFF"/>
            <w:noWrap/>
            <w:hideMark/>
          </w:tcPr>
          <w:p w14:paraId="720B808B" w14:textId="75D28D73"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3E4F3A40" w14:textId="16A4D22D"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007A7681" w14:textId="79D6EF6A" w:rsidR="00C82C87" w:rsidRPr="00D96A99" w:rsidRDefault="00C82C87" w:rsidP="00C82C87">
            <w:pPr>
              <w:spacing w:after="0" w:line="240" w:lineRule="auto"/>
              <w:jc w:val="center"/>
              <w:rPr>
                <w:rFonts w:ascii="Arial" w:eastAsia="Times New Roman" w:hAnsi="Arial" w:cs="Arial"/>
                <w:color w:val="000000" w:themeColor="text1"/>
                <w:sz w:val="18"/>
                <w:szCs w:val="18"/>
              </w:rPr>
            </w:pPr>
            <w:r w:rsidRPr="00151291">
              <w:t xml:space="preserve">  4 608</w:t>
            </w:r>
          </w:p>
        </w:tc>
      </w:tr>
      <w:tr w:rsidR="00C82C87" w:rsidRPr="00D96A99" w14:paraId="6AD5FAF8"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0BC0F74E" w14:textId="06DEC166"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 forme krytých dlhopisov</w:t>
            </w:r>
          </w:p>
        </w:tc>
        <w:tc>
          <w:tcPr>
            <w:tcW w:w="1711" w:type="dxa"/>
            <w:tcBorders>
              <w:top w:val="nil"/>
              <w:left w:val="nil"/>
              <w:bottom w:val="single" w:sz="4" w:space="0" w:color="BFBFBF"/>
              <w:right w:val="nil"/>
            </w:tcBorders>
            <w:shd w:val="clear" w:color="000000" w:fill="FFFFFF"/>
            <w:noWrap/>
            <w:hideMark/>
          </w:tcPr>
          <w:p w14:paraId="04DC2C9A" w14:textId="661C47A9"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0DA7CB71" w14:textId="2A37F0D7"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79346A11" w14:textId="2888C842"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22DB203E"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2E09F268" w14:textId="4690A203"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 xml:space="preserve">Položky predstavujúce </w:t>
            </w:r>
            <w:proofErr w:type="spellStart"/>
            <w:r w:rsidRPr="00D96A99">
              <w:rPr>
                <w:rFonts w:ascii="Arial" w:eastAsia="Times New Roman" w:hAnsi="Arial" w:cs="Arial"/>
                <w:sz w:val="18"/>
                <w:szCs w:val="18"/>
              </w:rPr>
              <w:t>sekuritizačné</w:t>
            </w:r>
            <w:proofErr w:type="spellEnd"/>
            <w:r w:rsidRPr="00D96A99">
              <w:rPr>
                <w:rFonts w:ascii="Arial" w:eastAsia="Times New Roman" w:hAnsi="Arial" w:cs="Arial"/>
                <w:sz w:val="18"/>
                <w:szCs w:val="18"/>
              </w:rPr>
              <w:t xml:space="preserve"> pozície</w:t>
            </w:r>
          </w:p>
        </w:tc>
        <w:tc>
          <w:tcPr>
            <w:tcW w:w="1711" w:type="dxa"/>
            <w:tcBorders>
              <w:top w:val="nil"/>
              <w:left w:val="nil"/>
              <w:bottom w:val="single" w:sz="4" w:space="0" w:color="BFBFBF"/>
              <w:right w:val="nil"/>
            </w:tcBorders>
            <w:shd w:val="clear" w:color="000000" w:fill="FFFFFF"/>
            <w:noWrap/>
            <w:hideMark/>
          </w:tcPr>
          <w:p w14:paraId="4EA5526D" w14:textId="570E912D"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375806DA" w14:textId="286F43DF"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470B9836" w14:textId="3970F12C"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2E171CD5" w14:textId="77777777" w:rsidTr="00C27990">
        <w:trPr>
          <w:trHeight w:val="614"/>
        </w:trPr>
        <w:tc>
          <w:tcPr>
            <w:tcW w:w="5628" w:type="dxa"/>
            <w:tcBorders>
              <w:top w:val="nil"/>
              <w:left w:val="nil"/>
              <w:bottom w:val="single" w:sz="4" w:space="0" w:color="BFBFBF"/>
              <w:right w:val="nil"/>
            </w:tcBorders>
            <w:shd w:val="clear" w:color="000000" w:fill="FFFFFF"/>
            <w:vAlign w:val="center"/>
            <w:hideMark/>
          </w:tcPr>
          <w:p w14:paraId="4B70AF15" w14:textId="568D9443"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inštitúciám a podnikateľským subjektom s krátkodobým ratingovým hodnotením</w:t>
            </w:r>
          </w:p>
        </w:tc>
        <w:tc>
          <w:tcPr>
            <w:tcW w:w="1711" w:type="dxa"/>
            <w:tcBorders>
              <w:top w:val="nil"/>
              <w:left w:val="nil"/>
              <w:bottom w:val="single" w:sz="4" w:space="0" w:color="BFBFBF"/>
              <w:right w:val="nil"/>
            </w:tcBorders>
            <w:shd w:val="clear" w:color="000000" w:fill="FFFFFF"/>
            <w:noWrap/>
            <w:hideMark/>
          </w:tcPr>
          <w:p w14:paraId="3CF99A30" w14:textId="1B1EBE8C"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4E9CE9F2" w14:textId="37DA9EA9"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74C7BFD4" w14:textId="46F98A71"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224E6E71" w14:textId="77777777" w:rsidTr="00C27990">
        <w:trPr>
          <w:trHeight w:val="491"/>
        </w:trPr>
        <w:tc>
          <w:tcPr>
            <w:tcW w:w="5628" w:type="dxa"/>
            <w:tcBorders>
              <w:top w:val="nil"/>
              <w:left w:val="nil"/>
              <w:bottom w:val="single" w:sz="4" w:space="0" w:color="BFBFBF"/>
              <w:right w:val="nil"/>
            </w:tcBorders>
            <w:shd w:val="clear" w:color="000000" w:fill="FFFFFF"/>
            <w:vAlign w:val="center"/>
            <w:hideMark/>
          </w:tcPr>
          <w:p w14:paraId="47B9D1BF" w14:textId="39A95F11"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 forme podielov na majetku v podnikoch kolektívneho investovania (PKI)</w:t>
            </w:r>
          </w:p>
        </w:tc>
        <w:tc>
          <w:tcPr>
            <w:tcW w:w="1711" w:type="dxa"/>
            <w:tcBorders>
              <w:top w:val="nil"/>
              <w:left w:val="nil"/>
              <w:bottom w:val="single" w:sz="4" w:space="0" w:color="BFBFBF"/>
              <w:right w:val="nil"/>
            </w:tcBorders>
            <w:shd w:val="clear" w:color="000000" w:fill="FFFFFF"/>
            <w:noWrap/>
            <w:hideMark/>
          </w:tcPr>
          <w:p w14:paraId="3EB07955" w14:textId="4B7D1EA1"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132B8FC4" w14:textId="7B9681B8"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09371C89" w14:textId="61D2E774"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05EEE55A" w14:textId="77777777" w:rsidTr="00C27990">
        <w:trPr>
          <w:trHeight w:val="245"/>
        </w:trPr>
        <w:tc>
          <w:tcPr>
            <w:tcW w:w="5628" w:type="dxa"/>
            <w:tcBorders>
              <w:top w:val="nil"/>
              <w:left w:val="nil"/>
              <w:bottom w:val="single" w:sz="4" w:space="0" w:color="BFBFBF"/>
              <w:right w:val="nil"/>
            </w:tcBorders>
            <w:shd w:val="clear" w:color="000000" w:fill="FFFFFF"/>
            <w:vAlign w:val="center"/>
            <w:hideMark/>
          </w:tcPr>
          <w:p w14:paraId="35EFA125" w14:textId="2FCA11C9"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Kapitálové expozície</w:t>
            </w:r>
          </w:p>
        </w:tc>
        <w:tc>
          <w:tcPr>
            <w:tcW w:w="1711" w:type="dxa"/>
            <w:tcBorders>
              <w:top w:val="nil"/>
              <w:left w:val="nil"/>
              <w:bottom w:val="single" w:sz="4" w:space="0" w:color="BFBFBF"/>
              <w:right w:val="nil"/>
            </w:tcBorders>
            <w:shd w:val="clear" w:color="000000" w:fill="FFFFFF"/>
            <w:noWrap/>
            <w:hideMark/>
          </w:tcPr>
          <w:p w14:paraId="4505D5D8" w14:textId="4F5CCDFB"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BFBFBF"/>
              <w:right w:val="nil"/>
            </w:tcBorders>
            <w:shd w:val="clear" w:color="000000" w:fill="FFFFFF"/>
            <w:noWrap/>
            <w:hideMark/>
          </w:tcPr>
          <w:p w14:paraId="0BE98B4D" w14:textId="43EBFDB1"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BFBFBF"/>
              <w:right w:val="nil"/>
            </w:tcBorders>
            <w:shd w:val="clear" w:color="000000" w:fill="FFFFFF"/>
            <w:noWrap/>
            <w:hideMark/>
          </w:tcPr>
          <w:p w14:paraId="1991B58F" w14:textId="2184BDD2"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D96A99" w14:paraId="6475D144" w14:textId="77777777" w:rsidTr="00C27990">
        <w:trPr>
          <w:trHeight w:val="245"/>
        </w:trPr>
        <w:tc>
          <w:tcPr>
            <w:tcW w:w="5628" w:type="dxa"/>
            <w:tcBorders>
              <w:top w:val="nil"/>
              <w:left w:val="nil"/>
              <w:bottom w:val="single" w:sz="4" w:space="0" w:color="auto"/>
              <w:right w:val="nil"/>
            </w:tcBorders>
            <w:shd w:val="clear" w:color="000000" w:fill="FFFFFF"/>
            <w:vAlign w:val="center"/>
            <w:hideMark/>
          </w:tcPr>
          <w:p w14:paraId="38E15C3A" w14:textId="38506E31" w:rsidR="00C82C87" w:rsidRPr="00D96A99" w:rsidRDefault="00C82C87" w:rsidP="00C82C87">
            <w:pPr>
              <w:spacing w:after="0" w:line="240" w:lineRule="auto"/>
              <w:rPr>
                <w:rFonts w:ascii="Arial" w:eastAsia="Times New Roman" w:hAnsi="Arial" w:cs="Arial"/>
                <w:sz w:val="18"/>
                <w:szCs w:val="18"/>
              </w:rPr>
            </w:pPr>
            <w:r w:rsidRPr="00D96A99">
              <w:rPr>
                <w:rFonts w:ascii="Arial" w:eastAsia="Times New Roman" w:hAnsi="Arial" w:cs="Arial"/>
                <w:sz w:val="18"/>
                <w:szCs w:val="18"/>
              </w:rPr>
              <w:t>Iné položky</w:t>
            </w:r>
          </w:p>
        </w:tc>
        <w:tc>
          <w:tcPr>
            <w:tcW w:w="1711" w:type="dxa"/>
            <w:tcBorders>
              <w:top w:val="nil"/>
              <w:left w:val="nil"/>
              <w:bottom w:val="single" w:sz="4" w:space="0" w:color="auto"/>
              <w:right w:val="nil"/>
            </w:tcBorders>
            <w:shd w:val="clear" w:color="000000" w:fill="FFFFFF"/>
            <w:noWrap/>
            <w:hideMark/>
          </w:tcPr>
          <w:p w14:paraId="389BEF31" w14:textId="6069C60F"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714" w:type="dxa"/>
            <w:tcBorders>
              <w:top w:val="nil"/>
              <w:left w:val="nil"/>
              <w:bottom w:val="single" w:sz="4" w:space="0" w:color="auto"/>
              <w:right w:val="nil"/>
            </w:tcBorders>
            <w:shd w:val="clear" w:color="000000" w:fill="FFFFFF"/>
            <w:noWrap/>
            <w:hideMark/>
          </w:tcPr>
          <w:p w14:paraId="513407A3" w14:textId="3219ECD5"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c>
          <w:tcPr>
            <w:tcW w:w="1816" w:type="dxa"/>
            <w:tcBorders>
              <w:top w:val="nil"/>
              <w:left w:val="nil"/>
              <w:bottom w:val="single" w:sz="4" w:space="0" w:color="auto"/>
              <w:right w:val="nil"/>
            </w:tcBorders>
            <w:shd w:val="clear" w:color="000000" w:fill="FFFFFF"/>
            <w:noWrap/>
            <w:hideMark/>
          </w:tcPr>
          <w:p w14:paraId="5415D413" w14:textId="29BD7A97" w:rsidR="00C82C87" w:rsidRPr="00D96A99" w:rsidRDefault="00C82C87" w:rsidP="00C82C87">
            <w:pPr>
              <w:spacing w:after="0" w:line="240" w:lineRule="auto"/>
              <w:rPr>
                <w:rFonts w:ascii="Arial" w:eastAsia="Times New Roman" w:hAnsi="Arial" w:cs="Arial"/>
                <w:color w:val="000000" w:themeColor="text1"/>
                <w:sz w:val="18"/>
                <w:szCs w:val="18"/>
              </w:rPr>
            </w:pPr>
            <w:r w:rsidRPr="00151291">
              <w:t xml:space="preserve"> </w:t>
            </w:r>
          </w:p>
        </w:tc>
      </w:tr>
      <w:tr w:rsidR="00C82C87" w:rsidRPr="00B13FC6" w14:paraId="61162FC8" w14:textId="77777777" w:rsidTr="00C27990">
        <w:trPr>
          <w:trHeight w:val="245"/>
        </w:trPr>
        <w:tc>
          <w:tcPr>
            <w:tcW w:w="5628" w:type="dxa"/>
            <w:tcBorders>
              <w:top w:val="nil"/>
              <w:left w:val="nil"/>
              <w:bottom w:val="nil"/>
              <w:right w:val="nil"/>
            </w:tcBorders>
            <w:shd w:val="clear" w:color="000000" w:fill="FFFFFF"/>
            <w:noWrap/>
            <w:vAlign w:val="center"/>
            <w:hideMark/>
          </w:tcPr>
          <w:p w14:paraId="16E9FAEB" w14:textId="5E51278D" w:rsidR="00C82C87" w:rsidRPr="00D96A99" w:rsidRDefault="00C82C87" w:rsidP="00C82C87">
            <w:pPr>
              <w:spacing w:after="0" w:line="240" w:lineRule="auto"/>
              <w:rPr>
                <w:rFonts w:ascii="Arial" w:eastAsia="Times New Roman" w:hAnsi="Arial" w:cs="Arial"/>
                <w:b/>
                <w:bCs/>
                <w:sz w:val="18"/>
                <w:szCs w:val="18"/>
              </w:rPr>
            </w:pPr>
            <w:r w:rsidRPr="00D96A99">
              <w:rPr>
                <w:rFonts w:ascii="Arial" w:eastAsia="Times New Roman" w:hAnsi="Arial" w:cs="Arial"/>
                <w:b/>
                <w:bCs/>
                <w:sz w:val="18"/>
                <w:szCs w:val="18"/>
              </w:rPr>
              <w:t>Spolu</w:t>
            </w:r>
          </w:p>
        </w:tc>
        <w:tc>
          <w:tcPr>
            <w:tcW w:w="1711" w:type="dxa"/>
            <w:tcBorders>
              <w:top w:val="nil"/>
              <w:left w:val="nil"/>
              <w:bottom w:val="nil"/>
              <w:right w:val="nil"/>
            </w:tcBorders>
            <w:shd w:val="clear" w:color="000000" w:fill="FFFFFF"/>
            <w:noWrap/>
            <w:hideMark/>
          </w:tcPr>
          <w:p w14:paraId="294BBB5A" w14:textId="692EA3A5" w:rsidR="00C82C87" w:rsidRPr="00D96A99" w:rsidRDefault="00C82C87" w:rsidP="00C82C87">
            <w:pPr>
              <w:spacing w:after="0" w:line="240" w:lineRule="auto"/>
              <w:jc w:val="center"/>
              <w:rPr>
                <w:rFonts w:ascii="Arial" w:hAnsi="Arial" w:cs="Arial"/>
                <w:color w:val="000000" w:themeColor="text1"/>
                <w:sz w:val="18"/>
                <w:szCs w:val="18"/>
              </w:rPr>
            </w:pPr>
            <w:r w:rsidRPr="00151291">
              <w:t>215 183</w:t>
            </w:r>
          </w:p>
        </w:tc>
        <w:tc>
          <w:tcPr>
            <w:tcW w:w="1714" w:type="dxa"/>
            <w:tcBorders>
              <w:top w:val="nil"/>
              <w:left w:val="nil"/>
              <w:bottom w:val="nil"/>
              <w:right w:val="nil"/>
            </w:tcBorders>
            <w:shd w:val="clear" w:color="000000" w:fill="FFFFFF"/>
            <w:noWrap/>
            <w:hideMark/>
          </w:tcPr>
          <w:p w14:paraId="595F2517" w14:textId="30BFBC7B" w:rsidR="00C82C87" w:rsidRPr="00D96A99" w:rsidRDefault="00C82C87" w:rsidP="00C82C87">
            <w:pPr>
              <w:spacing w:after="0" w:line="240" w:lineRule="auto"/>
              <w:jc w:val="center"/>
              <w:rPr>
                <w:rFonts w:ascii="Arial" w:eastAsia="Times New Roman" w:hAnsi="Arial" w:cs="Arial"/>
                <w:bCs/>
                <w:color w:val="000000" w:themeColor="text1"/>
                <w:sz w:val="18"/>
                <w:szCs w:val="18"/>
              </w:rPr>
            </w:pPr>
            <w:r w:rsidRPr="00151291">
              <w:t>0</w:t>
            </w:r>
          </w:p>
        </w:tc>
        <w:tc>
          <w:tcPr>
            <w:tcW w:w="1816" w:type="dxa"/>
            <w:tcBorders>
              <w:top w:val="nil"/>
              <w:left w:val="nil"/>
              <w:bottom w:val="nil"/>
              <w:right w:val="nil"/>
            </w:tcBorders>
            <w:shd w:val="clear" w:color="000000" w:fill="FFFFFF"/>
            <w:noWrap/>
            <w:hideMark/>
          </w:tcPr>
          <w:p w14:paraId="321EC271" w14:textId="2E295C88" w:rsidR="00C82C87" w:rsidRPr="007F1FA0" w:rsidRDefault="00C82C87" w:rsidP="00C82C87">
            <w:pPr>
              <w:spacing w:after="0" w:line="240" w:lineRule="auto"/>
              <w:jc w:val="center"/>
              <w:rPr>
                <w:rFonts w:ascii="Arial" w:eastAsia="Times New Roman" w:hAnsi="Arial" w:cs="Arial"/>
                <w:bCs/>
                <w:color w:val="000000" w:themeColor="text1"/>
                <w:sz w:val="18"/>
                <w:szCs w:val="18"/>
              </w:rPr>
            </w:pPr>
            <w:r w:rsidRPr="00151291">
              <w:t>25 942</w:t>
            </w:r>
          </w:p>
        </w:tc>
      </w:tr>
    </w:tbl>
    <w:p w14:paraId="2B33F77B" w14:textId="77777777" w:rsidR="00C60CC2" w:rsidRPr="00B13FC6" w:rsidRDefault="00C60CC2" w:rsidP="00C60CC2">
      <w:pPr>
        <w:pStyle w:val="ListParagraph"/>
        <w:spacing w:line="240" w:lineRule="auto"/>
        <w:ind w:left="360"/>
        <w:rPr>
          <w:rFonts w:ascii="Arial" w:hAnsi="Arial" w:cs="Arial"/>
          <w:sz w:val="20"/>
          <w:szCs w:val="20"/>
        </w:rPr>
      </w:pPr>
    </w:p>
    <w:p w14:paraId="28C6C659" w14:textId="77777777" w:rsidR="00C60CC2" w:rsidRPr="00B13FC6" w:rsidRDefault="00C60CC2" w:rsidP="00C60CC2">
      <w:pPr>
        <w:pStyle w:val="ListParagraph"/>
        <w:spacing w:line="240" w:lineRule="auto"/>
        <w:ind w:left="360"/>
        <w:rPr>
          <w:rFonts w:ascii="Arial" w:hAnsi="Arial" w:cs="Arial"/>
          <w:sz w:val="20"/>
          <w:szCs w:val="20"/>
        </w:rPr>
      </w:pPr>
    </w:p>
    <w:p w14:paraId="31290351" w14:textId="45EF322F" w:rsidR="007F1FA0" w:rsidRDefault="007F1FA0" w:rsidP="007F1FA0">
      <w:pPr>
        <w:tabs>
          <w:tab w:val="num" w:pos="426"/>
        </w:tabs>
        <w:rPr>
          <w:rFonts w:ascii="Arial" w:hAnsi="Arial" w:cs="Arial"/>
          <w:b/>
          <w:sz w:val="26"/>
          <w:szCs w:val="26"/>
        </w:rPr>
      </w:pPr>
    </w:p>
    <w:p w14:paraId="04650EFE" w14:textId="11889947" w:rsidR="007F1FA0" w:rsidRDefault="007F1FA0" w:rsidP="007F1FA0">
      <w:pPr>
        <w:tabs>
          <w:tab w:val="num" w:pos="426"/>
        </w:tabs>
        <w:rPr>
          <w:rFonts w:ascii="Arial" w:hAnsi="Arial" w:cs="Arial"/>
          <w:b/>
          <w:sz w:val="26"/>
          <w:szCs w:val="26"/>
        </w:rPr>
      </w:pPr>
    </w:p>
    <w:p w14:paraId="406CE959" w14:textId="348BCC89" w:rsidR="007F1FA0" w:rsidRDefault="007F1FA0" w:rsidP="007F1FA0">
      <w:pPr>
        <w:tabs>
          <w:tab w:val="num" w:pos="426"/>
        </w:tabs>
        <w:rPr>
          <w:rFonts w:ascii="Arial" w:hAnsi="Arial" w:cs="Arial"/>
          <w:b/>
          <w:sz w:val="26"/>
          <w:szCs w:val="26"/>
        </w:rPr>
      </w:pPr>
    </w:p>
    <w:p w14:paraId="72326FD2" w14:textId="5C3EDDC0" w:rsidR="007F1FA0" w:rsidRDefault="007F1FA0" w:rsidP="007F1FA0">
      <w:pPr>
        <w:tabs>
          <w:tab w:val="num" w:pos="426"/>
        </w:tabs>
        <w:rPr>
          <w:rFonts w:ascii="Arial" w:hAnsi="Arial" w:cs="Arial"/>
          <w:b/>
          <w:sz w:val="26"/>
          <w:szCs w:val="26"/>
        </w:rPr>
      </w:pPr>
    </w:p>
    <w:p w14:paraId="72CE06C8" w14:textId="386310BE" w:rsidR="007F1FA0" w:rsidRDefault="007F1FA0" w:rsidP="007F1FA0">
      <w:pPr>
        <w:tabs>
          <w:tab w:val="num" w:pos="426"/>
        </w:tabs>
        <w:rPr>
          <w:rFonts w:ascii="Arial" w:hAnsi="Arial" w:cs="Arial"/>
          <w:b/>
          <w:sz w:val="26"/>
          <w:szCs w:val="26"/>
        </w:rPr>
      </w:pPr>
    </w:p>
    <w:p w14:paraId="4B862ACE" w14:textId="13161EAD" w:rsidR="007F1FA0" w:rsidRDefault="007F1FA0" w:rsidP="007F1FA0">
      <w:pPr>
        <w:tabs>
          <w:tab w:val="num" w:pos="426"/>
        </w:tabs>
        <w:rPr>
          <w:rFonts w:ascii="Arial" w:hAnsi="Arial" w:cs="Arial"/>
          <w:b/>
          <w:sz w:val="26"/>
          <w:szCs w:val="26"/>
        </w:rPr>
      </w:pPr>
    </w:p>
    <w:p w14:paraId="52A37D68" w14:textId="77777777" w:rsidR="007F1FA0" w:rsidRPr="007F1FA0" w:rsidRDefault="007F1FA0" w:rsidP="007F1FA0">
      <w:pPr>
        <w:tabs>
          <w:tab w:val="num" w:pos="426"/>
        </w:tabs>
        <w:rPr>
          <w:rFonts w:ascii="Arial" w:hAnsi="Arial" w:cs="Arial"/>
          <w:b/>
          <w:sz w:val="26"/>
          <w:szCs w:val="26"/>
        </w:rPr>
      </w:pPr>
    </w:p>
    <w:p w14:paraId="6CB41FBE" w14:textId="4DA2AD70" w:rsidR="00C60CC2" w:rsidRPr="00B13FC6" w:rsidRDefault="00C60CC2" w:rsidP="00C60CC2">
      <w:pPr>
        <w:pStyle w:val="ListParagraph"/>
        <w:numPr>
          <w:ilvl w:val="0"/>
          <w:numId w:val="15"/>
        </w:numPr>
        <w:tabs>
          <w:tab w:val="clear" w:pos="360"/>
          <w:tab w:val="num" w:pos="426"/>
        </w:tabs>
        <w:ind w:left="426" w:hanging="426"/>
        <w:rPr>
          <w:rFonts w:ascii="Arial" w:hAnsi="Arial" w:cs="Arial"/>
          <w:b/>
          <w:sz w:val="26"/>
          <w:szCs w:val="26"/>
        </w:rPr>
      </w:pPr>
      <w:r w:rsidRPr="00B13FC6">
        <w:rPr>
          <w:rFonts w:ascii="Arial" w:hAnsi="Arial" w:cs="Arial"/>
          <w:b/>
          <w:sz w:val="20"/>
          <w:szCs w:val="20"/>
        </w:rPr>
        <w:t>rozdiel súčtu súvahových účtov aktív a súčtu súvahových účtov pasív podľa odhadovanej doby splatnosti</w:t>
      </w:r>
    </w:p>
    <w:p w14:paraId="14216934" w14:textId="099F4D87" w:rsidR="00C60CC2" w:rsidRPr="00B13FC6" w:rsidRDefault="00C60CC2" w:rsidP="00AE6664">
      <w:pPr>
        <w:pStyle w:val="ListParagraph"/>
        <w:spacing w:after="0" w:line="240" w:lineRule="auto"/>
        <w:ind w:left="426"/>
        <w:rPr>
          <w:rFonts w:ascii="Arial" w:hAnsi="Arial" w:cs="Arial"/>
          <w:sz w:val="16"/>
          <w:szCs w:val="16"/>
        </w:rPr>
      </w:pPr>
      <w:r w:rsidRPr="00B13FC6">
        <w:rPr>
          <w:rFonts w:ascii="Arial" w:hAnsi="Arial" w:cs="Arial"/>
          <w:b/>
          <w:sz w:val="26"/>
          <w:szCs w:val="26"/>
        </w:rPr>
        <w:t xml:space="preserve">      </w:t>
      </w:r>
      <w:r w:rsidR="006B6546" w:rsidRPr="00B13FC6">
        <w:rPr>
          <w:rFonts w:ascii="Arial" w:hAnsi="Arial" w:cs="Arial"/>
          <w:b/>
          <w:sz w:val="26"/>
          <w:szCs w:val="26"/>
        </w:rPr>
        <w:t xml:space="preserve"> </w:t>
      </w:r>
      <w:r w:rsidRPr="00B13FC6">
        <w:rPr>
          <w:rFonts w:ascii="Arial" w:hAnsi="Arial" w:cs="Arial"/>
          <w:b/>
          <w:sz w:val="26"/>
          <w:szCs w:val="26"/>
        </w:rPr>
        <w:t xml:space="preserve">                                                                                                             </w:t>
      </w:r>
      <w:r w:rsidRPr="00B13FC6">
        <w:rPr>
          <w:rFonts w:ascii="Arial" w:hAnsi="Arial" w:cs="Arial"/>
          <w:sz w:val="16"/>
          <w:szCs w:val="16"/>
        </w:rPr>
        <w:t>v </w:t>
      </w:r>
      <w:proofErr w:type="spellStart"/>
      <w:r w:rsidRPr="00B13FC6">
        <w:rPr>
          <w:rFonts w:ascii="Arial" w:hAnsi="Arial" w:cs="Arial"/>
          <w:sz w:val="16"/>
          <w:szCs w:val="16"/>
        </w:rPr>
        <w:t>tis.EUR</w:t>
      </w:r>
      <w:proofErr w:type="spellEnd"/>
    </w:p>
    <w:p w14:paraId="60CDA696" w14:textId="17DB4B6A" w:rsidR="00430EE6" w:rsidRPr="00B13FC6" w:rsidRDefault="00430EE6" w:rsidP="00AE6664">
      <w:pPr>
        <w:tabs>
          <w:tab w:val="num" w:pos="426"/>
        </w:tabs>
        <w:spacing w:after="0" w:line="240" w:lineRule="auto"/>
      </w:pPr>
    </w:p>
    <w:p w14:paraId="52CDBBAA" w14:textId="77777777" w:rsidR="0096443F" w:rsidRPr="00B13FC6" w:rsidRDefault="0096443F" w:rsidP="00AE6664">
      <w:pPr>
        <w:tabs>
          <w:tab w:val="num" w:pos="426"/>
        </w:tabs>
        <w:spacing w:after="0" w:line="240" w:lineRule="auto"/>
      </w:pPr>
    </w:p>
    <w:tbl>
      <w:tblPr>
        <w:tblpPr w:leftFromText="141" w:rightFromText="141" w:vertAnchor="text" w:horzAnchor="margin" w:tblpXSpec="center" w:tblpY="-67"/>
        <w:tblW w:w="10365" w:type="dxa"/>
        <w:tblCellMar>
          <w:left w:w="70" w:type="dxa"/>
          <w:right w:w="70" w:type="dxa"/>
        </w:tblCellMar>
        <w:tblLook w:val="04A0" w:firstRow="1" w:lastRow="0" w:firstColumn="1" w:lastColumn="0" w:noHBand="0" w:noVBand="1"/>
      </w:tblPr>
      <w:tblGrid>
        <w:gridCol w:w="1529"/>
        <w:gridCol w:w="878"/>
        <w:gridCol w:w="878"/>
        <w:gridCol w:w="878"/>
        <w:gridCol w:w="878"/>
        <w:gridCol w:w="878"/>
        <w:gridCol w:w="878"/>
        <w:gridCol w:w="878"/>
        <w:gridCol w:w="878"/>
        <w:gridCol w:w="901"/>
        <w:gridCol w:w="911"/>
      </w:tblGrid>
      <w:tr w:rsidR="00430EE6" w:rsidRPr="00B13FC6" w14:paraId="55D765EC" w14:textId="77777777" w:rsidTr="00435981">
        <w:trPr>
          <w:trHeight w:val="1048"/>
        </w:trPr>
        <w:tc>
          <w:tcPr>
            <w:tcW w:w="1529" w:type="dxa"/>
            <w:tcBorders>
              <w:top w:val="single" w:sz="4" w:space="0" w:color="auto"/>
              <w:left w:val="nil"/>
              <w:bottom w:val="single" w:sz="4" w:space="0" w:color="auto"/>
              <w:right w:val="nil"/>
            </w:tcBorders>
            <w:shd w:val="clear" w:color="auto" w:fill="auto"/>
            <w:vAlign w:val="center"/>
            <w:hideMark/>
          </w:tcPr>
          <w:p w14:paraId="4C7CB942" w14:textId="77777777" w:rsidR="00430EE6" w:rsidRPr="00B13FC6" w:rsidRDefault="00430EE6" w:rsidP="009A2892">
            <w:pPr>
              <w:spacing w:after="0" w:line="240" w:lineRule="auto"/>
              <w:rPr>
                <w:rFonts w:ascii="Arial" w:eastAsia="Times New Roman" w:hAnsi="Arial" w:cs="Arial"/>
                <w:b/>
                <w:bCs/>
                <w:sz w:val="18"/>
                <w:szCs w:val="18"/>
              </w:rPr>
            </w:pPr>
            <w:r w:rsidRPr="00B13FC6">
              <w:rPr>
                <w:rFonts w:ascii="Arial" w:eastAsia="Times New Roman" w:hAnsi="Arial" w:cs="Arial"/>
                <w:b/>
                <w:bCs/>
                <w:sz w:val="18"/>
                <w:szCs w:val="18"/>
              </w:rPr>
              <w:t>Ukazovateľ</w:t>
            </w:r>
          </w:p>
        </w:tc>
        <w:tc>
          <w:tcPr>
            <w:tcW w:w="878" w:type="dxa"/>
            <w:tcBorders>
              <w:top w:val="single" w:sz="4" w:space="0" w:color="auto"/>
              <w:left w:val="nil"/>
              <w:bottom w:val="single" w:sz="4" w:space="0" w:color="auto"/>
              <w:right w:val="nil"/>
            </w:tcBorders>
            <w:shd w:val="clear" w:color="auto" w:fill="auto"/>
            <w:vAlign w:val="center"/>
            <w:hideMark/>
          </w:tcPr>
          <w:p w14:paraId="67DC00FA"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do 7 dní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7E1E5527"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7 dní do 1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6CB5AD4E"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1 do 3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10C67828"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3 do 6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28FC62E3"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6 do 9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756A5576"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9 do 12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0B5D7626"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12 do 24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1B8A4109"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24 do 60 mes. </w:t>
            </w:r>
            <w:r w:rsidRPr="00B13FC6">
              <w:rPr>
                <w:rFonts w:ascii="Arial" w:eastAsia="Times New Roman" w:hAnsi="Arial" w:cs="Arial"/>
                <w:sz w:val="18"/>
                <w:szCs w:val="18"/>
              </w:rPr>
              <w:br/>
              <w:t>vrátane</w:t>
            </w:r>
          </w:p>
        </w:tc>
        <w:tc>
          <w:tcPr>
            <w:tcW w:w="901" w:type="dxa"/>
            <w:tcBorders>
              <w:top w:val="single" w:sz="4" w:space="0" w:color="auto"/>
              <w:left w:val="nil"/>
              <w:bottom w:val="single" w:sz="4" w:space="0" w:color="auto"/>
              <w:right w:val="nil"/>
            </w:tcBorders>
            <w:shd w:val="clear" w:color="auto" w:fill="auto"/>
            <w:vAlign w:val="center"/>
            <w:hideMark/>
          </w:tcPr>
          <w:p w14:paraId="21EDB6B6"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viac ako 60 </w:t>
            </w:r>
            <w:r w:rsidRPr="00B13FC6">
              <w:rPr>
                <w:rFonts w:ascii="Arial" w:eastAsia="Times New Roman" w:hAnsi="Arial" w:cs="Arial"/>
                <w:sz w:val="18"/>
                <w:szCs w:val="18"/>
              </w:rPr>
              <w:br/>
              <w:t>mesiacov</w:t>
            </w:r>
          </w:p>
        </w:tc>
        <w:tc>
          <w:tcPr>
            <w:tcW w:w="911" w:type="dxa"/>
            <w:tcBorders>
              <w:top w:val="single" w:sz="4" w:space="0" w:color="auto"/>
              <w:left w:val="nil"/>
              <w:bottom w:val="single" w:sz="4" w:space="0" w:color="auto"/>
              <w:right w:val="nil"/>
            </w:tcBorders>
            <w:shd w:val="clear" w:color="auto" w:fill="auto"/>
            <w:vAlign w:val="center"/>
            <w:hideMark/>
          </w:tcPr>
          <w:p w14:paraId="37871FB0"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 </w:t>
            </w:r>
            <w:proofErr w:type="spellStart"/>
            <w:r w:rsidRPr="00B13FC6">
              <w:rPr>
                <w:rFonts w:ascii="Arial" w:eastAsia="Times New Roman" w:hAnsi="Arial" w:cs="Arial"/>
                <w:sz w:val="18"/>
                <w:szCs w:val="18"/>
              </w:rPr>
              <w:t>nešpecifi</w:t>
            </w:r>
            <w:proofErr w:type="spellEnd"/>
            <w:r w:rsidRPr="00B13FC6">
              <w:rPr>
                <w:rFonts w:ascii="Arial" w:eastAsia="Times New Roman" w:hAnsi="Arial" w:cs="Arial"/>
                <w:sz w:val="18"/>
                <w:szCs w:val="18"/>
              </w:rPr>
              <w:t xml:space="preserve">-kované </w:t>
            </w:r>
            <w:r w:rsidRPr="00B13FC6">
              <w:rPr>
                <w:rFonts w:ascii="Arial" w:eastAsia="Times New Roman" w:hAnsi="Arial" w:cs="Arial"/>
                <w:sz w:val="18"/>
                <w:szCs w:val="18"/>
              </w:rPr>
              <w:br/>
              <w:t>položky</w:t>
            </w:r>
          </w:p>
        </w:tc>
      </w:tr>
      <w:tr w:rsidR="00F40473" w:rsidRPr="00B13FC6" w14:paraId="3C087437" w14:textId="77777777" w:rsidTr="00BA04F8">
        <w:trPr>
          <w:trHeight w:val="517"/>
        </w:trPr>
        <w:tc>
          <w:tcPr>
            <w:tcW w:w="1529" w:type="dxa"/>
            <w:tcBorders>
              <w:top w:val="nil"/>
              <w:left w:val="nil"/>
              <w:bottom w:val="nil"/>
              <w:right w:val="nil"/>
            </w:tcBorders>
            <w:shd w:val="clear" w:color="auto" w:fill="auto"/>
            <w:vAlign w:val="center"/>
            <w:hideMark/>
          </w:tcPr>
          <w:p w14:paraId="436DF769" w14:textId="77777777" w:rsidR="00F40473" w:rsidRPr="00B13FC6" w:rsidRDefault="00F40473" w:rsidP="00F40473">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Súčet súvahových účtov aktív</w:t>
            </w:r>
          </w:p>
        </w:tc>
        <w:tc>
          <w:tcPr>
            <w:tcW w:w="878" w:type="dxa"/>
            <w:tcBorders>
              <w:top w:val="nil"/>
              <w:left w:val="nil"/>
              <w:bottom w:val="nil"/>
              <w:right w:val="nil"/>
            </w:tcBorders>
            <w:shd w:val="clear" w:color="auto" w:fill="auto"/>
            <w:noWrap/>
            <w:vAlign w:val="bottom"/>
          </w:tcPr>
          <w:p w14:paraId="6CB94777" w14:textId="5295D3C1" w:rsidR="00F40473" w:rsidRPr="008224E1" w:rsidRDefault="00F40473" w:rsidP="00F40473">
            <w:pPr>
              <w:spacing w:after="0" w:line="240" w:lineRule="auto"/>
              <w:jc w:val="right"/>
              <w:rPr>
                <w:rFonts w:ascii="Arial" w:eastAsia="Times New Roman" w:hAnsi="Arial" w:cs="Arial"/>
                <w:bCs/>
                <w:color w:val="000000"/>
                <w:sz w:val="18"/>
                <w:szCs w:val="18"/>
              </w:rPr>
            </w:pPr>
            <w:r>
              <w:rPr>
                <w:b/>
                <w:bCs/>
                <w:sz w:val="18"/>
                <w:szCs w:val="18"/>
              </w:rPr>
              <w:t>261 120</w:t>
            </w:r>
          </w:p>
        </w:tc>
        <w:tc>
          <w:tcPr>
            <w:tcW w:w="878" w:type="dxa"/>
            <w:tcBorders>
              <w:top w:val="nil"/>
              <w:left w:val="nil"/>
              <w:bottom w:val="nil"/>
              <w:right w:val="nil"/>
            </w:tcBorders>
            <w:shd w:val="clear" w:color="auto" w:fill="auto"/>
            <w:noWrap/>
            <w:vAlign w:val="bottom"/>
            <w:hideMark/>
          </w:tcPr>
          <w:p w14:paraId="1AF795A5" w14:textId="7BEA33D4" w:rsidR="00F40473" w:rsidRPr="008224E1" w:rsidRDefault="00F40473" w:rsidP="00F40473">
            <w:pPr>
              <w:spacing w:after="0" w:line="240" w:lineRule="auto"/>
              <w:jc w:val="right"/>
              <w:rPr>
                <w:rFonts w:ascii="Arial" w:hAnsi="Arial" w:cs="Arial"/>
                <w:bCs/>
                <w:color w:val="000000"/>
                <w:sz w:val="18"/>
                <w:szCs w:val="18"/>
              </w:rPr>
            </w:pPr>
            <w:r>
              <w:rPr>
                <w:b/>
                <w:bCs/>
                <w:sz w:val="18"/>
                <w:szCs w:val="18"/>
              </w:rPr>
              <w:t>41 240</w:t>
            </w:r>
          </w:p>
        </w:tc>
        <w:tc>
          <w:tcPr>
            <w:tcW w:w="878" w:type="dxa"/>
            <w:tcBorders>
              <w:top w:val="nil"/>
              <w:left w:val="nil"/>
              <w:bottom w:val="nil"/>
              <w:right w:val="nil"/>
            </w:tcBorders>
            <w:shd w:val="clear" w:color="auto" w:fill="auto"/>
            <w:noWrap/>
            <w:vAlign w:val="bottom"/>
            <w:hideMark/>
          </w:tcPr>
          <w:p w14:paraId="2734A6B2" w14:textId="2DF25D74" w:rsidR="00F40473" w:rsidRPr="008224E1" w:rsidRDefault="00F40473" w:rsidP="00F40473">
            <w:pPr>
              <w:spacing w:after="0" w:line="240" w:lineRule="auto"/>
              <w:jc w:val="right"/>
              <w:rPr>
                <w:rFonts w:ascii="Arial" w:hAnsi="Arial" w:cs="Arial"/>
                <w:bCs/>
                <w:color w:val="000000"/>
                <w:sz w:val="18"/>
                <w:szCs w:val="18"/>
              </w:rPr>
            </w:pPr>
            <w:r>
              <w:rPr>
                <w:b/>
                <w:bCs/>
                <w:sz w:val="18"/>
                <w:szCs w:val="18"/>
              </w:rPr>
              <w:t>58 274</w:t>
            </w:r>
          </w:p>
        </w:tc>
        <w:tc>
          <w:tcPr>
            <w:tcW w:w="878" w:type="dxa"/>
            <w:tcBorders>
              <w:top w:val="nil"/>
              <w:left w:val="nil"/>
              <w:bottom w:val="nil"/>
              <w:right w:val="nil"/>
            </w:tcBorders>
            <w:shd w:val="clear" w:color="auto" w:fill="auto"/>
            <w:noWrap/>
            <w:vAlign w:val="bottom"/>
            <w:hideMark/>
          </w:tcPr>
          <w:p w14:paraId="29EBC6A5" w14:textId="5AE22D46" w:rsidR="00F40473" w:rsidRPr="008224E1" w:rsidRDefault="00F40473" w:rsidP="00F40473">
            <w:pPr>
              <w:spacing w:after="0" w:line="240" w:lineRule="auto"/>
              <w:jc w:val="right"/>
              <w:rPr>
                <w:rFonts w:ascii="Arial" w:hAnsi="Arial" w:cs="Arial"/>
                <w:bCs/>
                <w:color w:val="000000"/>
                <w:sz w:val="18"/>
                <w:szCs w:val="18"/>
              </w:rPr>
            </w:pPr>
            <w:r>
              <w:rPr>
                <w:b/>
                <w:bCs/>
                <w:sz w:val="18"/>
                <w:szCs w:val="18"/>
              </w:rPr>
              <w:t>93 672</w:t>
            </w:r>
          </w:p>
        </w:tc>
        <w:tc>
          <w:tcPr>
            <w:tcW w:w="878" w:type="dxa"/>
            <w:tcBorders>
              <w:top w:val="nil"/>
              <w:left w:val="nil"/>
              <w:bottom w:val="nil"/>
              <w:right w:val="nil"/>
            </w:tcBorders>
            <w:shd w:val="clear" w:color="auto" w:fill="auto"/>
            <w:noWrap/>
            <w:vAlign w:val="bottom"/>
            <w:hideMark/>
          </w:tcPr>
          <w:p w14:paraId="55306276" w14:textId="29E404D7" w:rsidR="00F40473" w:rsidRPr="008224E1" w:rsidRDefault="00F40473" w:rsidP="00F40473">
            <w:pPr>
              <w:spacing w:after="0" w:line="240" w:lineRule="auto"/>
              <w:jc w:val="right"/>
              <w:rPr>
                <w:rFonts w:ascii="Arial" w:hAnsi="Arial" w:cs="Arial"/>
                <w:bCs/>
                <w:color w:val="000000"/>
                <w:sz w:val="18"/>
                <w:szCs w:val="18"/>
              </w:rPr>
            </w:pPr>
            <w:r>
              <w:rPr>
                <w:b/>
                <w:bCs/>
                <w:sz w:val="18"/>
                <w:szCs w:val="18"/>
              </w:rPr>
              <w:t>85 634</w:t>
            </w:r>
          </w:p>
        </w:tc>
        <w:tc>
          <w:tcPr>
            <w:tcW w:w="878" w:type="dxa"/>
            <w:tcBorders>
              <w:top w:val="nil"/>
              <w:left w:val="nil"/>
              <w:bottom w:val="nil"/>
              <w:right w:val="nil"/>
            </w:tcBorders>
            <w:shd w:val="clear" w:color="auto" w:fill="auto"/>
            <w:noWrap/>
            <w:vAlign w:val="bottom"/>
            <w:hideMark/>
          </w:tcPr>
          <w:p w14:paraId="3C3E1D63" w14:textId="1F9F11C5" w:rsidR="00F40473" w:rsidRPr="008224E1" w:rsidRDefault="00F40473" w:rsidP="00F40473">
            <w:pPr>
              <w:spacing w:after="0" w:line="240" w:lineRule="auto"/>
              <w:jc w:val="right"/>
              <w:rPr>
                <w:rFonts w:ascii="Arial" w:hAnsi="Arial" w:cs="Arial"/>
                <w:bCs/>
                <w:color w:val="000000"/>
                <w:sz w:val="18"/>
                <w:szCs w:val="18"/>
              </w:rPr>
            </w:pPr>
            <w:r>
              <w:rPr>
                <w:b/>
                <w:bCs/>
                <w:sz w:val="18"/>
                <w:szCs w:val="18"/>
              </w:rPr>
              <w:t>75 027</w:t>
            </w:r>
          </w:p>
        </w:tc>
        <w:tc>
          <w:tcPr>
            <w:tcW w:w="878" w:type="dxa"/>
            <w:tcBorders>
              <w:top w:val="nil"/>
              <w:left w:val="nil"/>
              <w:bottom w:val="nil"/>
              <w:right w:val="nil"/>
            </w:tcBorders>
            <w:shd w:val="clear" w:color="auto" w:fill="auto"/>
            <w:noWrap/>
            <w:vAlign w:val="bottom"/>
            <w:hideMark/>
          </w:tcPr>
          <w:p w14:paraId="35FA349C" w14:textId="012BC355" w:rsidR="00F40473" w:rsidRPr="008224E1" w:rsidRDefault="00F40473" w:rsidP="00F40473">
            <w:pPr>
              <w:spacing w:after="0" w:line="240" w:lineRule="auto"/>
              <w:jc w:val="right"/>
              <w:rPr>
                <w:rFonts w:ascii="Arial" w:hAnsi="Arial" w:cs="Arial"/>
                <w:bCs/>
                <w:color w:val="000000"/>
                <w:sz w:val="18"/>
                <w:szCs w:val="18"/>
              </w:rPr>
            </w:pPr>
            <w:r>
              <w:rPr>
                <w:b/>
                <w:bCs/>
                <w:sz w:val="18"/>
                <w:szCs w:val="18"/>
              </w:rPr>
              <w:t>275 502</w:t>
            </w:r>
          </w:p>
        </w:tc>
        <w:tc>
          <w:tcPr>
            <w:tcW w:w="878" w:type="dxa"/>
            <w:tcBorders>
              <w:top w:val="nil"/>
              <w:left w:val="nil"/>
              <w:bottom w:val="nil"/>
              <w:right w:val="nil"/>
            </w:tcBorders>
            <w:shd w:val="clear" w:color="auto" w:fill="auto"/>
            <w:noWrap/>
            <w:vAlign w:val="bottom"/>
            <w:hideMark/>
          </w:tcPr>
          <w:p w14:paraId="5AC10FC0" w14:textId="6E8A5CFE" w:rsidR="00F40473" w:rsidRPr="008224E1" w:rsidRDefault="00F40473" w:rsidP="00F40473">
            <w:pPr>
              <w:spacing w:after="0" w:line="240" w:lineRule="auto"/>
              <w:jc w:val="right"/>
              <w:rPr>
                <w:rFonts w:ascii="Arial" w:hAnsi="Arial" w:cs="Arial"/>
                <w:bCs/>
                <w:color w:val="000000"/>
                <w:sz w:val="18"/>
                <w:szCs w:val="18"/>
              </w:rPr>
            </w:pPr>
            <w:r>
              <w:rPr>
                <w:b/>
                <w:bCs/>
                <w:sz w:val="18"/>
                <w:szCs w:val="18"/>
              </w:rPr>
              <w:t>384 622</w:t>
            </w:r>
          </w:p>
        </w:tc>
        <w:tc>
          <w:tcPr>
            <w:tcW w:w="901" w:type="dxa"/>
            <w:tcBorders>
              <w:top w:val="nil"/>
              <w:left w:val="nil"/>
              <w:bottom w:val="nil"/>
              <w:right w:val="nil"/>
            </w:tcBorders>
            <w:shd w:val="clear" w:color="auto" w:fill="auto"/>
            <w:noWrap/>
            <w:vAlign w:val="bottom"/>
            <w:hideMark/>
          </w:tcPr>
          <w:p w14:paraId="3B8612BD" w14:textId="092AF73B"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112 970</w:t>
            </w:r>
          </w:p>
        </w:tc>
        <w:tc>
          <w:tcPr>
            <w:tcW w:w="911" w:type="dxa"/>
            <w:tcBorders>
              <w:top w:val="nil"/>
              <w:left w:val="nil"/>
              <w:bottom w:val="nil"/>
              <w:right w:val="nil"/>
            </w:tcBorders>
            <w:shd w:val="clear" w:color="auto" w:fill="auto"/>
            <w:noWrap/>
            <w:vAlign w:val="bottom"/>
            <w:hideMark/>
          </w:tcPr>
          <w:p w14:paraId="2189BC45" w14:textId="02C974A4" w:rsidR="00F40473" w:rsidRPr="008224E1" w:rsidRDefault="00F40473" w:rsidP="00F40473">
            <w:pPr>
              <w:spacing w:after="0" w:line="240" w:lineRule="auto"/>
              <w:jc w:val="right"/>
              <w:rPr>
                <w:rFonts w:ascii="Arial" w:hAnsi="Arial" w:cs="Arial"/>
                <w:bCs/>
                <w:color w:val="000000"/>
                <w:sz w:val="18"/>
                <w:szCs w:val="18"/>
              </w:rPr>
            </w:pPr>
            <w:r>
              <w:rPr>
                <w:b/>
                <w:bCs/>
                <w:sz w:val="18"/>
                <w:szCs w:val="18"/>
              </w:rPr>
              <w:t>26 793</w:t>
            </w:r>
          </w:p>
        </w:tc>
      </w:tr>
      <w:tr w:rsidR="00F40473" w:rsidRPr="00B13FC6" w14:paraId="61737444" w14:textId="77777777" w:rsidTr="00BA04F8">
        <w:trPr>
          <w:trHeight w:val="517"/>
        </w:trPr>
        <w:tc>
          <w:tcPr>
            <w:tcW w:w="1529" w:type="dxa"/>
            <w:tcBorders>
              <w:top w:val="single" w:sz="4" w:space="0" w:color="D9D9D9"/>
              <w:left w:val="nil"/>
              <w:bottom w:val="single" w:sz="4" w:space="0" w:color="D9D9D9"/>
              <w:right w:val="nil"/>
            </w:tcBorders>
            <w:shd w:val="clear" w:color="auto" w:fill="auto"/>
            <w:vAlign w:val="bottom"/>
            <w:hideMark/>
          </w:tcPr>
          <w:p w14:paraId="2B5F30F5" w14:textId="77777777" w:rsidR="00F40473" w:rsidRPr="00B13FC6" w:rsidRDefault="00F40473" w:rsidP="00F40473">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Súčet súvahových účtov pasív</w:t>
            </w:r>
          </w:p>
        </w:tc>
        <w:tc>
          <w:tcPr>
            <w:tcW w:w="878" w:type="dxa"/>
            <w:tcBorders>
              <w:top w:val="single" w:sz="4" w:space="0" w:color="D9D9D9"/>
              <w:left w:val="nil"/>
              <w:bottom w:val="single" w:sz="4" w:space="0" w:color="D9D9D9"/>
              <w:right w:val="nil"/>
            </w:tcBorders>
            <w:shd w:val="clear" w:color="auto" w:fill="auto"/>
            <w:noWrap/>
            <w:vAlign w:val="bottom"/>
            <w:hideMark/>
          </w:tcPr>
          <w:p w14:paraId="7DE5EBB6" w14:textId="58E97232" w:rsidR="00F40473" w:rsidRPr="008224E1" w:rsidRDefault="00F40473" w:rsidP="00F40473">
            <w:pPr>
              <w:spacing w:after="0" w:line="240" w:lineRule="auto"/>
              <w:jc w:val="right"/>
              <w:rPr>
                <w:rFonts w:ascii="Arial" w:hAnsi="Arial" w:cs="Arial"/>
                <w:bCs/>
                <w:color w:val="000000"/>
                <w:sz w:val="18"/>
                <w:szCs w:val="18"/>
              </w:rPr>
            </w:pPr>
            <w:r>
              <w:rPr>
                <w:b/>
                <w:bCs/>
                <w:sz w:val="18"/>
                <w:szCs w:val="18"/>
              </w:rPr>
              <w:t>73 096</w:t>
            </w:r>
          </w:p>
        </w:tc>
        <w:tc>
          <w:tcPr>
            <w:tcW w:w="878" w:type="dxa"/>
            <w:tcBorders>
              <w:top w:val="single" w:sz="4" w:space="0" w:color="D9D9D9"/>
              <w:left w:val="nil"/>
              <w:bottom w:val="single" w:sz="4" w:space="0" w:color="D9D9D9"/>
              <w:right w:val="nil"/>
            </w:tcBorders>
            <w:shd w:val="clear" w:color="auto" w:fill="auto"/>
            <w:noWrap/>
            <w:vAlign w:val="bottom"/>
            <w:hideMark/>
          </w:tcPr>
          <w:p w14:paraId="7890949B" w14:textId="62D340C1"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126 428</w:t>
            </w:r>
          </w:p>
        </w:tc>
        <w:tc>
          <w:tcPr>
            <w:tcW w:w="878" w:type="dxa"/>
            <w:tcBorders>
              <w:top w:val="single" w:sz="4" w:space="0" w:color="D9D9D9"/>
              <w:left w:val="nil"/>
              <w:bottom w:val="single" w:sz="4" w:space="0" w:color="D9D9D9"/>
              <w:right w:val="nil"/>
            </w:tcBorders>
            <w:shd w:val="clear" w:color="auto" w:fill="auto"/>
            <w:noWrap/>
            <w:vAlign w:val="bottom"/>
            <w:hideMark/>
          </w:tcPr>
          <w:p w14:paraId="5DA2094D" w14:textId="45F7F971" w:rsidR="00F40473" w:rsidRPr="008224E1" w:rsidRDefault="00F40473" w:rsidP="00F40473">
            <w:pPr>
              <w:spacing w:after="0" w:line="240" w:lineRule="auto"/>
              <w:jc w:val="right"/>
              <w:rPr>
                <w:rFonts w:ascii="Arial" w:hAnsi="Arial" w:cs="Arial"/>
                <w:bCs/>
                <w:color w:val="000000"/>
                <w:sz w:val="18"/>
                <w:szCs w:val="18"/>
              </w:rPr>
            </w:pPr>
            <w:r>
              <w:rPr>
                <w:b/>
                <w:bCs/>
                <w:sz w:val="18"/>
                <w:szCs w:val="18"/>
              </w:rPr>
              <w:t>97 084</w:t>
            </w:r>
          </w:p>
        </w:tc>
        <w:tc>
          <w:tcPr>
            <w:tcW w:w="878" w:type="dxa"/>
            <w:tcBorders>
              <w:top w:val="single" w:sz="4" w:space="0" w:color="D9D9D9"/>
              <w:left w:val="nil"/>
              <w:bottom w:val="single" w:sz="4" w:space="0" w:color="D9D9D9"/>
              <w:right w:val="nil"/>
            </w:tcBorders>
            <w:shd w:val="clear" w:color="auto" w:fill="auto"/>
            <w:noWrap/>
            <w:vAlign w:val="bottom"/>
            <w:hideMark/>
          </w:tcPr>
          <w:p w14:paraId="2C4BA6B7" w14:textId="31EFCDCB" w:rsidR="00F40473" w:rsidRPr="008224E1" w:rsidRDefault="00F40473" w:rsidP="00F40473">
            <w:pPr>
              <w:spacing w:after="0" w:line="240" w:lineRule="auto"/>
              <w:jc w:val="right"/>
              <w:rPr>
                <w:rFonts w:ascii="Arial" w:hAnsi="Arial" w:cs="Arial"/>
                <w:bCs/>
                <w:color w:val="000000"/>
                <w:sz w:val="18"/>
                <w:szCs w:val="18"/>
              </w:rPr>
            </w:pPr>
            <w:r>
              <w:rPr>
                <w:b/>
                <w:bCs/>
                <w:sz w:val="18"/>
                <w:szCs w:val="18"/>
              </w:rPr>
              <w:t>73 341</w:t>
            </w:r>
          </w:p>
        </w:tc>
        <w:tc>
          <w:tcPr>
            <w:tcW w:w="878" w:type="dxa"/>
            <w:tcBorders>
              <w:top w:val="single" w:sz="4" w:space="0" w:color="D9D9D9"/>
              <w:left w:val="nil"/>
              <w:bottom w:val="single" w:sz="4" w:space="0" w:color="D9D9D9"/>
              <w:right w:val="nil"/>
            </w:tcBorders>
            <w:shd w:val="clear" w:color="auto" w:fill="auto"/>
            <w:noWrap/>
            <w:vAlign w:val="bottom"/>
            <w:hideMark/>
          </w:tcPr>
          <w:p w14:paraId="6D4788DA" w14:textId="2B9A716A"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175 167</w:t>
            </w:r>
          </w:p>
        </w:tc>
        <w:tc>
          <w:tcPr>
            <w:tcW w:w="878" w:type="dxa"/>
            <w:tcBorders>
              <w:top w:val="single" w:sz="4" w:space="0" w:color="D9D9D9"/>
              <w:left w:val="nil"/>
              <w:bottom w:val="single" w:sz="4" w:space="0" w:color="D9D9D9"/>
              <w:right w:val="nil"/>
            </w:tcBorders>
            <w:shd w:val="clear" w:color="auto" w:fill="auto"/>
            <w:noWrap/>
            <w:vAlign w:val="bottom"/>
            <w:hideMark/>
          </w:tcPr>
          <w:p w14:paraId="6C5A133F" w14:textId="3479842A" w:rsidR="00F40473" w:rsidRPr="008224E1" w:rsidRDefault="00F40473" w:rsidP="00F40473">
            <w:pPr>
              <w:spacing w:after="0" w:line="240" w:lineRule="auto"/>
              <w:jc w:val="right"/>
              <w:rPr>
                <w:rFonts w:ascii="Arial" w:hAnsi="Arial" w:cs="Arial"/>
                <w:bCs/>
                <w:color w:val="000000"/>
                <w:sz w:val="18"/>
                <w:szCs w:val="18"/>
              </w:rPr>
            </w:pPr>
            <w:r>
              <w:rPr>
                <w:b/>
                <w:bCs/>
                <w:sz w:val="18"/>
                <w:szCs w:val="18"/>
              </w:rPr>
              <w:t>45 506</w:t>
            </w:r>
          </w:p>
        </w:tc>
        <w:tc>
          <w:tcPr>
            <w:tcW w:w="878" w:type="dxa"/>
            <w:tcBorders>
              <w:top w:val="single" w:sz="4" w:space="0" w:color="D9D9D9"/>
              <w:left w:val="nil"/>
              <w:bottom w:val="single" w:sz="4" w:space="0" w:color="D9D9D9"/>
              <w:right w:val="nil"/>
            </w:tcBorders>
            <w:shd w:val="clear" w:color="auto" w:fill="auto"/>
            <w:noWrap/>
            <w:vAlign w:val="bottom"/>
            <w:hideMark/>
          </w:tcPr>
          <w:p w14:paraId="56A1420F" w14:textId="06F13D05"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184 255</w:t>
            </w:r>
          </w:p>
        </w:tc>
        <w:tc>
          <w:tcPr>
            <w:tcW w:w="878" w:type="dxa"/>
            <w:tcBorders>
              <w:top w:val="single" w:sz="4" w:space="0" w:color="D9D9D9"/>
              <w:left w:val="nil"/>
              <w:bottom w:val="single" w:sz="4" w:space="0" w:color="D9D9D9"/>
              <w:right w:val="nil"/>
            </w:tcBorders>
            <w:shd w:val="clear" w:color="auto" w:fill="auto"/>
            <w:noWrap/>
            <w:vAlign w:val="bottom"/>
            <w:hideMark/>
          </w:tcPr>
          <w:p w14:paraId="03702221" w14:textId="4D1E6027" w:rsidR="00F40473" w:rsidRPr="008224E1" w:rsidRDefault="00F40473" w:rsidP="00F40473">
            <w:pPr>
              <w:spacing w:after="0" w:line="240" w:lineRule="auto"/>
              <w:jc w:val="right"/>
              <w:rPr>
                <w:rFonts w:ascii="Arial" w:hAnsi="Arial" w:cs="Arial"/>
                <w:bCs/>
                <w:color w:val="000000"/>
                <w:sz w:val="18"/>
                <w:szCs w:val="18"/>
              </w:rPr>
            </w:pPr>
            <w:r>
              <w:rPr>
                <w:b/>
                <w:bCs/>
                <w:sz w:val="18"/>
                <w:szCs w:val="18"/>
              </w:rPr>
              <w:t>272 283</w:t>
            </w:r>
          </w:p>
        </w:tc>
        <w:tc>
          <w:tcPr>
            <w:tcW w:w="901" w:type="dxa"/>
            <w:tcBorders>
              <w:top w:val="single" w:sz="4" w:space="0" w:color="D9D9D9"/>
              <w:left w:val="nil"/>
              <w:bottom w:val="single" w:sz="4" w:space="0" w:color="D9D9D9"/>
              <w:right w:val="nil"/>
            </w:tcBorders>
            <w:shd w:val="clear" w:color="auto" w:fill="auto"/>
            <w:noWrap/>
            <w:vAlign w:val="bottom"/>
            <w:hideMark/>
          </w:tcPr>
          <w:p w14:paraId="7FD9F5F2" w14:textId="505B5305" w:rsidR="00F40473" w:rsidRPr="008224E1" w:rsidRDefault="00F40473" w:rsidP="00F40473">
            <w:pPr>
              <w:spacing w:after="0" w:line="240" w:lineRule="auto"/>
              <w:jc w:val="right"/>
              <w:rPr>
                <w:rFonts w:ascii="Arial" w:hAnsi="Arial" w:cs="Arial"/>
                <w:bCs/>
                <w:color w:val="000000"/>
                <w:sz w:val="18"/>
                <w:szCs w:val="18"/>
              </w:rPr>
            </w:pPr>
            <w:r>
              <w:rPr>
                <w:b/>
                <w:bCs/>
                <w:sz w:val="18"/>
                <w:szCs w:val="18"/>
              </w:rPr>
              <w:t>250 230</w:t>
            </w:r>
          </w:p>
        </w:tc>
        <w:tc>
          <w:tcPr>
            <w:tcW w:w="911" w:type="dxa"/>
            <w:tcBorders>
              <w:top w:val="single" w:sz="4" w:space="0" w:color="D9D9D9"/>
              <w:left w:val="nil"/>
              <w:bottom w:val="single" w:sz="4" w:space="0" w:color="D9D9D9"/>
              <w:right w:val="nil"/>
            </w:tcBorders>
            <w:shd w:val="clear" w:color="auto" w:fill="auto"/>
            <w:noWrap/>
            <w:vAlign w:val="bottom"/>
            <w:hideMark/>
          </w:tcPr>
          <w:p w14:paraId="67BD3A53" w14:textId="058C5A80"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117 464</w:t>
            </w:r>
          </w:p>
        </w:tc>
      </w:tr>
      <w:tr w:rsidR="00F40473" w:rsidRPr="00B13FC6" w14:paraId="485E1018" w14:textId="77777777" w:rsidTr="00BA04F8">
        <w:trPr>
          <w:trHeight w:val="517"/>
        </w:trPr>
        <w:tc>
          <w:tcPr>
            <w:tcW w:w="1529" w:type="dxa"/>
            <w:tcBorders>
              <w:top w:val="nil"/>
              <w:left w:val="nil"/>
              <w:bottom w:val="single" w:sz="4" w:space="0" w:color="D9D9D9"/>
              <w:right w:val="nil"/>
            </w:tcBorders>
            <w:shd w:val="clear" w:color="auto" w:fill="auto"/>
            <w:vAlign w:val="bottom"/>
            <w:hideMark/>
          </w:tcPr>
          <w:p w14:paraId="2540470C" w14:textId="77777777" w:rsidR="00F40473" w:rsidRPr="00B13FC6" w:rsidRDefault="00F40473" w:rsidP="00F40473">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Čistá súvahová pozícia likvidity</w:t>
            </w:r>
          </w:p>
        </w:tc>
        <w:tc>
          <w:tcPr>
            <w:tcW w:w="878" w:type="dxa"/>
            <w:tcBorders>
              <w:top w:val="nil"/>
              <w:left w:val="nil"/>
              <w:bottom w:val="single" w:sz="4" w:space="0" w:color="D9D9D9"/>
              <w:right w:val="nil"/>
            </w:tcBorders>
            <w:shd w:val="clear" w:color="auto" w:fill="auto"/>
            <w:noWrap/>
            <w:vAlign w:val="bottom"/>
            <w:hideMark/>
          </w:tcPr>
          <w:p w14:paraId="2DF251E1" w14:textId="0ECEE0BA"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188 024</w:t>
            </w:r>
          </w:p>
        </w:tc>
        <w:tc>
          <w:tcPr>
            <w:tcW w:w="878" w:type="dxa"/>
            <w:tcBorders>
              <w:top w:val="nil"/>
              <w:left w:val="nil"/>
              <w:bottom w:val="single" w:sz="4" w:space="0" w:color="D9D9D9"/>
              <w:right w:val="nil"/>
            </w:tcBorders>
            <w:shd w:val="clear" w:color="auto" w:fill="auto"/>
            <w:noWrap/>
            <w:vAlign w:val="bottom"/>
            <w:hideMark/>
          </w:tcPr>
          <w:p w14:paraId="443BF942" w14:textId="5D6805F3" w:rsidR="00F40473" w:rsidRPr="008224E1" w:rsidRDefault="00F40473" w:rsidP="00F40473">
            <w:pPr>
              <w:spacing w:after="0" w:line="240" w:lineRule="auto"/>
              <w:jc w:val="right"/>
              <w:rPr>
                <w:rFonts w:ascii="Arial" w:hAnsi="Arial" w:cs="Arial"/>
                <w:bCs/>
                <w:color w:val="000000"/>
                <w:sz w:val="18"/>
                <w:szCs w:val="18"/>
              </w:rPr>
            </w:pPr>
            <w:r>
              <w:rPr>
                <w:b/>
                <w:bCs/>
                <w:sz w:val="18"/>
                <w:szCs w:val="18"/>
              </w:rPr>
              <w:t>-85 188</w:t>
            </w:r>
          </w:p>
        </w:tc>
        <w:tc>
          <w:tcPr>
            <w:tcW w:w="878" w:type="dxa"/>
            <w:tcBorders>
              <w:top w:val="nil"/>
              <w:left w:val="nil"/>
              <w:bottom w:val="single" w:sz="4" w:space="0" w:color="D9D9D9"/>
              <w:right w:val="nil"/>
            </w:tcBorders>
            <w:shd w:val="clear" w:color="auto" w:fill="auto"/>
            <w:noWrap/>
            <w:vAlign w:val="bottom"/>
            <w:hideMark/>
          </w:tcPr>
          <w:p w14:paraId="4BD62E9F" w14:textId="552936C5" w:rsidR="00F40473" w:rsidRPr="008224E1" w:rsidRDefault="00F40473" w:rsidP="00F40473">
            <w:pPr>
              <w:spacing w:after="0" w:line="240" w:lineRule="auto"/>
              <w:jc w:val="right"/>
              <w:rPr>
                <w:rFonts w:ascii="Arial" w:hAnsi="Arial" w:cs="Arial"/>
                <w:bCs/>
                <w:color w:val="000000"/>
                <w:sz w:val="18"/>
                <w:szCs w:val="18"/>
              </w:rPr>
            </w:pPr>
            <w:r>
              <w:rPr>
                <w:b/>
                <w:bCs/>
                <w:sz w:val="18"/>
                <w:szCs w:val="18"/>
              </w:rPr>
              <w:t>-38 810</w:t>
            </w:r>
          </w:p>
        </w:tc>
        <w:tc>
          <w:tcPr>
            <w:tcW w:w="878" w:type="dxa"/>
            <w:tcBorders>
              <w:top w:val="nil"/>
              <w:left w:val="nil"/>
              <w:bottom w:val="single" w:sz="4" w:space="0" w:color="D9D9D9"/>
              <w:right w:val="nil"/>
            </w:tcBorders>
            <w:shd w:val="clear" w:color="auto" w:fill="auto"/>
            <w:noWrap/>
            <w:vAlign w:val="bottom"/>
            <w:hideMark/>
          </w:tcPr>
          <w:p w14:paraId="72C754D6" w14:textId="57B6A5C8" w:rsidR="00F40473" w:rsidRPr="008224E1" w:rsidRDefault="00F40473" w:rsidP="00F40473">
            <w:pPr>
              <w:spacing w:after="0" w:line="240" w:lineRule="auto"/>
              <w:jc w:val="right"/>
              <w:rPr>
                <w:rFonts w:ascii="Arial" w:hAnsi="Arial" w:cs="Arial"/>
                <w:bCs/>
                <w:color w:val="000000"/>
                <w:sz w:val="18"/>
                <w:szCs w:val="18"/>
              </w:rPr>
            </w:pPr>
            <w:r>
              <w:rPr>
                <w:b/>
                <w:bCs/>
                <w:sz w:val="18"/>
                <w:szCs w:val="18"/>
              </w:rPr>
              <w:t>20 331</w:t>
            </w:r>
          </w:p>
        </w:tc>
        <w:tc>
          <w:tcPr>
            <w:tcW w:w="878" w:type="dxa"/>
            <w:tcBorders>
              <w:top w:val="nil"/>
              <w:left w:val="nil"/>
              <w:bottom w:val="single" w:sz="4" w:space="0" w:color="D9D9D9"/>
              <w:right w:val="nil"/>
            </w:tcBorders>
            <w:shd w:val="clear" w:color="auto" w:fill="auto"/>
            <w:noWrap/>
            <w:vAlign w:val="bottom"/>
            <w:hideMark/>
          </w:tcPr>
          <w:p w14:paraId="640E9618" w14:textId="5EFDCA05" w:rsidR="00F40473" w:rsidRPr="008224E1" w:rsidRDefault="00F40473" w:rsidP="00F40473">
            <w:pPr>
              <w:spacing w:after="0" w:line="240" w:lineRule="auto"/>
              <w:jc w:val="right"/>
              <w:rPr>
                <w:rFonts w:ascii="Arial" w:hAnsi="Arial" w:cs="Arial"/>
                <w:bCs/>
                <w:color w:val="000000"/>
                <w:sz w:val="18"/>
                <w:szCs w:val="18"/>
              </w:rPr>
            </w:pPr>
            <w:r>
              <w:rPr>
                <w:b/>
                <w:bCs/>
                <w:sz w:val="18"/>
                <w:szCs w:val="18"/>
              </w:rPr>
              <w:t>-89 533</w:t>
            </w:r>
          </w:p>
        </w:tc>
        <w:tc>
          <w:tcPr>
            <w:tcW w:w="878" w:type="dxa"/>
            <w:tcBorders>
              <w:top w:val="nil"/>
              <w:left w:val="nil"/>
              <w:bottom w:val="single" w:sz="4" w:space="0" w:color="D9D9D9"/>
              <w:right w:val="nil"/>
            </w:tcBorders>
            <w:shd w:val="clear" w:color="auto" w:fill="auto"/>
            <w:noWrap/>
            <w:vAlign w:val="bottom"/>
            <w:hideMark/>
          </w:tcPr>
          <w:p w14:paraId="1EA0F668" w14:textId="34D011AE" w:rsidR="00F40473" w:rsidRPr="008224E1" w:rsidRDefault="00F40473" w:rsidP="00F40473">
            <w:pPr>
              <w:spacing w:after="0" w:line="240" w:lineRule="auto"/>
              <w:jc w:val="right"/>
              <w:rPr>
                <w:rFonts w:ascii="Arial" w:hAnsi="Arial" w:cs="Arial"/>
                <w:bCs/>
                <w:color w:val="000000"/>
                <w:sz w:val="18"/>
                <w:szCs w:val="18"/>
              </w:rPr>
            </w:pPr>
            <w:r>
              <w:rPr>
                <w:b/>
                <w:bCs/>
                <w:sz w:val="18"/>
                <w:szCs w:val="18"/>
              </w:rPr>
              <w:t>29 521</w:t>
            </w:r>
          </w:p>
        </w:tc>
        <w:tc>
          <w:tcPr>
            <w:tcW w:w="878" w:type="dxa"/>
            <w:tcBorders>
              <w:top w:val="nil"/>
              <w:left w:val="nil"/>
              <w:bottom w:val="single" w:sz="4" w:space="0" w:color="D9D9D9"/>
              <w:right w:val="nil"/>
            </w:tcBorders>
            <w:shd w:val="clear" w:color="auto" w:fill="auto"/>
            <w:noWrap/>
            <w:vAlign w:val="bottom"/>
            <w:hideMark/>
          </w:tcPr>
          <w:p w14:paraId="2019A589" w14:textId="4739B8A8" w:rsidR="00F40473" w:rsidRPr="008224E1" w:rsidRDefault="00F40473" w:rsidP="00F40473">
            <w:pPr>
              <w:spacing w:after="0" w:line="240" w:lineRule="auto"/>
              <w:jc w:val="right"/>
              <w:rPr>
                <w:rFonts w:ascii="Arial" w:hAnsi="Arial" w:cs="Arial"/>
                <w:bCs/>
                <w:color w:val="000000"/>
                <w:sz w:val="18"/>
                <w:szCs w:val="18"/>
              </w:rPr>
            </w:pPr>
            <w:r>
              <w:rPr>
                <w:b/>
                <w:bCs/>
                <w:sz w:val="18"/>
                <w:szCs w:val="18"/>
              </w:rPr>
              <w:t>91 247</w:t>
            </w:r>
          </w:p>
        </w:tc>
        <w:tc>
          <w:tcPr>
            <w:tcW w:w="878" w:type="dxa"/>
            <w:tcBorders>
              <w:top w:val="nil"/>
              <w:left w:val="nil"/>
              <w:bottom w:val="single" w:sz="4" w:space="0" w:color="D9D9D9"/>
              <w:right w:val="nil"/>
            </w:tcBorders>
            <w:shd w:val="clear" w:color="auto" w:fill="auto"/>
            <w:noWrap/>
            <w:vAlign w:val="bottom"/>
            <w:hideMark/>
          </w:tcPr>
          <w:p w14:paraId="12F043A0" w14:textId="215B96F4"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112 339</w:t>
            </w:r>
          </w:p>
        </w:tc>
        <w:tc>
          <w:tcPr>
            <w:tcW w:w="901" w:type="dxa"/>
            <w:tcBorders>
              <w:top w:val="nil"/>
              <w:left w:val="nil"/>
              <w:bottom w:val="single" w:sz="4" w:space="0" w:color="D9D9D9"/>
              <w:right w:val="nil"/>
            </w:tcBorders>
            <w:shd w:val="clear" w:color="auto" w:fill="auto"/>
            <w:noWrap/>
            <w:vAlign w:val="bottom"/>
            <w:hideMark/>
          </w:tcPr>
          <w:p w14:paraId="265F1636" w14:textId="5A8CD6AF"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-137 260</w:t>
            </w:r>
          </w:p>
        </w:tc>
        <w:tc>
          <w:tcPr>
            <w:tcW w:w="911" w:type="dxa"/>
            <w:tcBorders>
              <w:top w:val="nil"/>
              <w:left w:val="nil"/>
              <w:bottom w:val="single" w:sz="4" w:space="0" w:color="D9D9D9"/>
              <w:right w:val="nil"/>
            </w:tcBorders>
            <w:shd w:val="clear" w:color="auto" w:fill="auto"/>
            <w:noWrap/>
            <w:vAlign w:val="bottom"/>
            <w:hideMark/>
          </w:tcPr>
          <w:p w14:paraId="28E3DB3A" w14:textId="74788657" w:rsidR="00F40473" w:rsidRPr="008224E1" w:rsidRDefault="00F40473" w:rsidP="00F40473">
            <w:pPr>
              <w:spacing w:after="0" w:line="240" w:lineRule="auto"/>
              <w:jc w:val="right"/>
              <w:rPr>
                <w:rFonts w:ascii="Arial" w:hAnsi="Arial" w:cs="Arial"/>
                <w:bCs/>
                <w:color w:val="000000"/>
                <w:sz w:val="18"/>
                <w:szCs w:val="18"/>
              </w:rPr>
            </w:pPr>
            <w:r>
              <w:rPr>
                <w:b/>
                <w:bCs/>
                <w:sz w:val="18"/>
                <w:szCs w:val="18"/>
              </w:rPr>
              <w:t>-90 671</w:t>
            </w:r>
          </w:p>
        </w:tc>
      </w:tr>
      <w:tr w:rsidR="00F40473" w:rsidRPr="00B13FC6" w14:paraId="5FD5997D" w14:textId="77777777" w:rsidTr="00BA04F8">
        <w:trPr>
          <w:trHeight w:val="789"/>
        </w:trPr>
        <w:tc>
          <w:tcPr>
            <w:tcW w:w="1529" w:type="dxa"/>
            <w:tcBorders>
              <w:top w:val="nil"/>
              <w:left w:val="nil"/>
              <w:bottom w:val="single" w:sz="4" w:space="0" w:color="auto"/>
              <w:right w:val="nil"/>
            </w:tcBorders>
            <w:shd w:val="clear" w:color="auto" w:fill="auto"/>
            <w:vAlign w:val="bottom"/>
            <w:hideMark/>
          </w:tcPr>
          <w:p w14:paraId="5B9C4242" w14:textId="77777777" w:rsidR="00F40473" w:rsidRPr="00B13FC6" w:rsidRDefault="00F40473" w:rsidP="00F40473">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Kumulatívna čistá súvahová pozícia likvidity</w:t>
            </w:r>
          </w:p>
        </w:tc>
        <w:tc>
          <w:tcPr>
            <w:tcW w:w="878" w:type="dxa"/>
            <w:tcBorders>
              <w:top w:val="nil"/>
              <w:left w:val="nil"/>
              <w:bottom w:val="single" w:sz="4" w:space="0" w:color="auto"/>
              <w:right w:val="nil"/>
            </w:tcBorders>
            <w:shd w:val="clear" w:color="auto" w:fill="auto"/>
            <w:noWrap/>
            <w:vAlign w:val="bottom"/>
            <w:hideMark/>
          </w:tcPr>
          <w:p w14:paraId="14A6BA24" w14:textId="318FFD03"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188 024</w:t>
            </w:r>
          </w:p>
        </w:tc>
        <w:tc>
          <w:tcPr>
            <w:tcW w:w="878" w:type="dxa"/>
            <w:tcBorders>
              <w:top w:val="nil"/>
              <w:left w:val="nil"/>
              <w:bottom w:val="single" w:sz="4" w:space="0" w:color="auto"/>
              <w:right w:val="nil"/>
            </w:tcBorders>
            <w:shd w:val="clear" w:color="auto" w:fill="auto"/>
            <w:noWrap/>
            <w:vAlign w:val="bottom"/>
            <w:hideMark/>
          </w:tcPr>
          <w:p w14:paraId="5B3FBA96" w14:textId="7AB9334F"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102 836</w:t>
            </w:r>
          </w:p>
        </w:tc>
        <w:tc>
          <w:tcPr>
            <w:tcW w:w="878" w:type="dxa"/>
            <w:tcBorders>
              <w:top w:val="nil"/>
              <w:left w:val="nil"/>
              <w:bottom w:val="single" w:sz="4" w:space="0" w:color="auto"/>
              <w:right w:val="nil"/>
            </w:tcBorders>
            <w:shd w:val="clear" w:color="auto" w:fill="auto"/>
            <w:noWrap/>
            <w:vAlign w:val="bottom"/>
            <w:hideMark/>
          </w:tcPr>
          <w:p w14:paraId="36E5FF95" w14:textId="292711CA" w:rsidR="00F40473" w:rsidRPr="008224E1" w:rsidRDefault="00F40473" w:rsidP="00F40473">
            <w:pPr>
              <w:spacing w:after="0" w:line="240" w:lineRule="auto"/>
              <w:jc w:val="right"/>
              <w:rPr>
                <w:rFonts w:ascii="Arial" w:hAnsi="Arial" w:cs="Arial"/>
                <w:bCs/>
                <w:color w:val="000000"/>
                <w:sz w:val="18"/>
                <w:szCs w:val="18"/>
              </w:rPr>
            </w:pPr>
            <w:r>
              <w:rPr>
                <w:b/>
                <w:bCs/>
                <w:sz w:val="18"/>
                <w:szCs w:val="18"/>
              </w:rPr>
              <w:t>64 026</w:t>
            </w:r>
          </w:p>
        </w:tc>
        <w:tc>
          <w:tcPr>
            <w:tcW w:w="878" w:type="dxa"/>
            <w:tcBorders>
              <w:top w:val="nil"/>
              <w:left w:val="nil"/>
              <w:bottom w:val="single" w:sz="4" w:space="0" w:color="auto"/>
              <w:right w:val="nil"/>
            </w:tcBorders>
            <w:shd w:val="clear" w:color="auto" w:fill="auto"/>
            <w:noWrap/>
            <w:vAlign w:val="bottom"/>
            <w:hideMark/>
          </w:tcPr>
          <w:p w14:paraId="308AD0F8" w14:textId="1502DCF9" w:rsidR="00F40473" w:rsidRPr="008224E1" w:rsidRDefault="00F40473" w:rsidP="00F40473">
            <w:pPr>
              <w:spacing w:after="0" w:line="240" w:lineRule="auto"/>
              <w:jc w:val="right"/>
              <w:rPr>
                <w:rFonts w:ascii="Arial" w:hAnsi="Arial" w:cs="Arial"/>
                <w:bCs/>
                <w:color w:val="000000"/>
                <w:sz w:val="18"/>
                <w:szCs w:val="18"/>
              </w:rPr>
            </w:pPr>
            <w:r>
              <w:rPr>
                <w:b/>
                <w:bCs/>
                <w:sz w:val="18"/>
                <w:szCs w:val="18"/>
              </w:rPr>
              <w:t>84 357</w:t>
            </w:r>
          </w:p>
        </w:tc>
        <w:tc>
          <w:tcPr>
            <w:tcW w:w="878" w:type="dxa"/>
            <w:tcBorders>
              <w:top w:val="nil"/>
              <w:left w:val="nil"/>
              <w:bottom w:val="single" w:sz="4" w:space="0" w:color="auto"/>
              <w:right w:val="nil"/>
            </w:tcBorders>
            <w:shd w:val="clear" w:color="auto" w:fill="auto"/>
            <w:noWrap/>
            <w:vAlign w:val="bottom"/>
            <w:hideMark/>
          </w:tcPr>
          <w:p w14:paraId="587F8BC4" w14:textId="493C0BD7" w:rsidR="00F40473" w:rsidRPr="008224E1" w:rsidRDefault="00F40473" w:rsidP="00F40473">
            <w:pPr>
              <w:spacing w:after="0" w:line="240" w:lineRule="auto"/>
              <w:jc w:val="right"/>
              <w:rPr>
                <w:rFonts w:ascii="Arial" w:hAnsi="Arial" w:cs="Arial"/>
                <w:bCs/>
                <w:color w:val="000000"/>
                <w:sz w:val="18"/>
                <w:szCs w:val="18"/>
              </w:rPr>
            </w:pPr>
            <w:r>
              <w:rPr>
                <w:b/>
                <w:bCs/>
                <w:sz w:val="18"/>
                <w:szCs w:val="18"/>
              </w:rPr>
              <w:t>-5 176</w:t>
            </w:r>
          </w:p>
        </w:tc>
        <w:tc>
          <w:tcPr>
            <w:tcW w:w="878" w:type="dxa"/>
            <w:tcBorders>
              <w:top w:val="nil"/>
              <w:left w:val="nil"/>
              <w:bottom w:val="single" w:sz="4" w:space="0" w:color="auto"/>
              <w:right w:val="nil"/>
            </w:tcBorders>
            <w:shd w:val="clear" w:color="auto" w:fill="auto"/>
            <w:noWrap/>
            <w:vAlign w:val="bottom"/>
            <w:hideMark/>
          </w:tcPr>
          <w:p w14:paraId="3021B798" w14:textId="2D43128F" w:rsidR="00F40473" w:rsidRPr="008224E1" w:rsidRDefault="00F40473" w:rsidP="00F40473">
            <w:pPr>
              <w:spacing w:after="0" w:line="240" w:lineRule="auto"/>
              <w:jc w:val="right"/>
              <w:rPr>
                <w:rFonts w:ascii="Arial" w:hAnsi="Arial" w:cs="Arial"/>
                <w:bCs/>
                <w:color w:val="000000"/>
                <w:sz w:val="18"/>
                <w:szCs w:val="18"/>
              </w:rPr>
            </w:pPr>
            <w:r>
              <w:rPr>
                <w:b/>
                <w:bCs/>
                <w:sz w:val="18"/>
                <w:szCs w:val="18"/>
              </w:rPr>
              <w:t>24 345</w:t>
            </w:r>
          </w:p>
        </w:tc>
        <w:tc>
          <w:tcPr>
            <w:tcW w:w="878" w:type="dxa"/>
            <w:tcBorders>
              <w:top w:val="nil"/>
              <w:left w:val="nil"/>
              <w:bottom w:val="single" w:sz="4" w:space="0" w:color="auto"/>
              <w:right w:val="nil"/>
            </w:tcBorders>
            <w:shd w:val="clear" w:color="auto" w:fill="auto"/>
            <w:noWrap/>
            <w:vAlign w:val="bottom"/>
            <w:hideMark/>
          </w:tcPr>
          <w:p w14:paraId="188D1072" w14:textId="0C6DE22C" w:rsidR="00F40473" w:rsidRPr="008224E1" w:rsidRDefault="00F40473" w:rsidP="00F40473">
            <w:pPr>
              <w:spacing w:after="0" w:line="240" w:lineRule="auto"/>
              <w:jc w:val="right"/>
              <w:rPr>
                <w:rFonts w:ascii="Arial" w:hAnsi="Arial" w:cs="Arial"/>
                <w:bCs/>
                <w:color w:val="000000"/>
                <w:sz w:val="18"/>
                <w:szCs w:val="18"/>
              </w:rPr>
            </w:pPr>
            <w:r>
              <w:rPr>
                <w:b/>
                <w:bCs/>
                <w:sz w:val="18"/>
                <w:szCs w:val="18"/>
              </w:rPr>
              <w:t>115 592</w:t>
            </w:r>
          </w:p>
        </w:tc>
        <w:tc>
          <w:tcPr>
            <w:tcW w:w="878" w:type="dxa"/>
            <w:tcBorders>
              <w:top w:val="nil"/>
              <w:left w:val="nil"/>
              <w:bottom w:val="single" w:sz="4" w:space="0" w:color="auto"/>
              <w:right w:val="nil"/>
            </w:tcBorders>
            <w:shd w:val="clear" w:color="auto" w:fill="auto"/>
            <w:noWrap/>
            <w:vAlign w:val="bottom"/>
            <w:hideMark/>
          </w:tcPr>
          <w:p w14:paraId="76BCB12A" w14:textId="51BADFDD" w:rsidR="00F40473" w:rsidRPr="008224E1" w:rsidRDefault="00F40473" w:rsidP="00F40473">
            <w:pPr>
              <w:spacing w:after="0" w:line="240" w:lineRule="auto"/>
              <w:jc w:val="right"/>
              <w:rPr>
                <w:rFonts w:ascii="Arial" w:hAnsi="Arial" w:cs="Arial"/>
                <w:bCs/>
                <w:color w:val="000000"/>
                <w:sz w:val="18"/>
                <w:szCs w:val="18"/>
              </w:rPr>
            </w:pPr>
            <w:r>
              <w:rPr>
                <w:b/>
                <w:bCs/>
                <w:sz w:val="18"/>
                <w:szCs w:val="18"/>
              </w:rPr>
              <w:t>227 931</w:t>
            </w:r>
          </w:p>
        </w:tc>
        <w:tc>
          <w:tcPr>
            <w:tcW w:w="901" w:type="dxa"/>
            <w:tcBorders>
              <w:top w:val="nil"/>
              <w:left w:val="nil"/>
              <w:bottom w:val="single" w:sz="4" w:space="0" w:color="auto"/>
              <w:right w:val="nil"/>
            </w:tcBorders>
            <w:shd w:val="clear" w:color="auto" w:fill="auto"/>
            <w:noWrap/>
            <w:vAlign w:val="bottom"/>
            <w:hideMark/>
          </w:tcPr>
          <w:p w14:paraId="3FE58A99" w14:textId="6814D8AE" w:rsidR="00F40473" w:rsidRPr="008224E1" w:rsidRDefault="00F40473" w:rsidP="00F40473">
            <w:pPr>
              <w:spacing w:after="0" w:line="240" w:lineRule="auto"/>
              <w:jc w:val="right"/>
              <w:rPr>
                <w:rFonts w:ascii="Arial" w:hAnsi="Arial" w:cs="Arial"/>
                <w:bCs/>
                <w:color w:val="000000"/>
                <w:sz w:val="18"/>
                <w:szCs w:val="18"/>
              </w:rPr>
            </w:pPr>
            <w:r>
              <w:rPr>
                <w:b/>
                <w:bCs/>
                <w:sz w:val="18"/>
                <w:szCs w:val="18"/>
              </w:rPr>
              <w:t>90 671</w:t>
            </w:r>
          </w:p>
        </w:tc>
        <w:tc>
          <w:tcPr>
            <w:tcW w:w="911" w:type="dxa"/>
            <w:tcBorders>
              <w:top w:val="nil"/>
              <w:left w:val="nil"/>
              <w:bottom w:val="single" w:sz="4" w:space="0" w:color="auto"/>
              <w:right w:val="nil"/>
            </w:tcBorders>
            <w:shd w:val="clear" w:color="auto" w:fill="auto"/>
            <w:noWrap/>
            <w:vAlign w:val="bottom"/>
            <w:hideMark/>
          </w:tcPr>
          <w:p w14:paraId="6402F09D" w14:textId="00D3A60C" w:rsidR="00F40473" w:rsidRPr="008224E1" w:rsidRDefault="00F40473" w:rsidP="00F40473">
            <w:pPr>
              <w:spacing w:after="0" w:line="240" w:lineRule="auto"/>
              <w:jc w:val="right"/>
              <w:rPr>
                <w:rFonts w:ascii="Arial" w:hAnsi="Arial" w:cs="Arial"/>
                <w:bCs/>
                <w:color w:val="000000"/>
                <w:sz w:val="18"/>
                <w:szCs w:val="18"/>
              </w:rPr>
            </w:pPr>
            <w:r>
              <w:rPr>
                <w:b/>
                <w:bCs/>
                <w:sz w:val="18"/>
                <w:szCs w:val="18"/>
              </w:rPr>
              <w:t>0</w:t>
            </w:r>
          </w:p>
        </w:tc>
      </w:tr>
    </w:tbl>
    <w:p w14:paraId="45C23DC4" w14:textId="77777777" w:rsidR="00855D02" w:rsidRPr="00855D02" w:rsidRDefault="00855D02" w:rsidP="00855D02">
      <w:pPr>
        <w:pStyle w:val="ListParagraph"/>
        <w:ind w:left="426"/>
        <w:rPr>
          <w:rFonts w:ascii="Arial" w:hAnsi="Arial" w:cs="Arial"/>
          <w:b/>
          <w:sz w:val="26"/>
          <w:szCs w:val="26"/>
        </w:rPr>
      </w:pPr>
    </w:p>
    <w:p w14:paraId="3FF820C6" w14:textId="4326E23E" w:rsidR="005E04B1" w:rsidRPr="00F02751" w:rsidRDefault="005E04B1" w:rsidP="005E04B1">
      <w:pPr>
        <w:pStyle w:val="ListParagraph"/>
        <w:numPr>
          <w:ilvl w:val="0"/>
          <w:numId w:val="15"/>
        </w:numPr>
        <w:tabs>
          <w:tab w:val="clear" w:pos="360"/>
          <w:tab w:val="num" w:pos="426"/>
        </w:tabs>
        <w:ind w:left="426" w:hanging="426"/>
        <w:rPr>
          <w:rFonts w:ascii="Arial" w:hAnsi="Arial" w:cs="Arial"/>
          <w:b/>
          <w:sz w:val="26"/>
          <w:szCs w:val="26"/>
        </w:rPr>
      </w:pPr>
      <w:r w:rsidRPr="00F02751">
        <w:rPr>
          <w:rFonts w:ascii="Arial" w:hAnsi="Arial" w:cs="Arial"/>
          <w:b/>
          <w:sz w:val="20"/>
          <w:szCs w:val="20"/>
        </w:rPr>
        <w:t>údaje o ukazovateli krytia likvidity</w:t>
      </w:r>
    </w:p>
    <w:p w14:paraId="413A3E2D" w14:textId="44A2CF3A" w:rsidR="00C60CC2" w:rsidRDefault="00DD5557" w:rsidP="005E04B1">
      <w:pPr>
        <w:pStyle w:val="ListParagraph"/>
        <w:ind w:left="426"/>
        <w:rPr>
          <w:rFonts w:ascii="Arial" w:hAnsi="Arial" w:cs="Arial"/>
          <w:b/>
          <w:sz w:val="26"/>
          <w:szCs w:val="26"/>
        </w:rPr>
      </w:pPr>
      <w:r>
        <w:rPr>
          <w:rFonts w:ascii="Arial" w:hAnsi="Arial" w:cs="Arial"/>
          <w:b/>
          <w:sz w:val="26"/>
          <w:szCs w:val="26"/>
        </w:rPr>
        <w:object w:dxaOrig="1534" w:dyaOrig="991" w14:anchorId="17378028">
          <v:shape id="_x0000_i1027" type="#_x0000_t75" style="width:79.5pt;height:50.25pt" o:ole="">
            <v:imagedata r:id="rId12" o:title=""/>
          </v:shape>
          <o:OLEObject Type="Embed" ProgID="AcroExch.Document.DC" ShapeID="_x0000_i1027" DrawAspect="Icon" ObjectID="_1682488513" r:id="rId13"/>
        </w:object>
      </w:r>
    </w:p>
    <w:p w14:paraId="0272CE27" w14:textId="5E9389FA" w:rsidR="008D0574" w:rsidRPr="00B13FC6" w:rsidRDefault="004D626E" w:rsidP="004D626E">
      <w:pPr>
        <w:pStyle w:val="ListParagraph"/>
        <w:tabs>
          <w:tab w:val="left" w:pos="1845"/>
        </w:tabs>
        <w:ind w:left="426"/>
        <w:rPr>
          <w:rFonts w:ascii="Arial" w:hAnsi="Arial" w:cs="Arial"/>
          <w:b/>
          <w:sz w:val="26"/>
          <w:szCs w:val="26"/>
        </w:rPr>
      </w:pPr>
      <w:r>
        <w:rPr>
          <w:rFonts w:ascii="Arial" w:hAnsi="Arial" w:cs="Arial"/>
          <w:b/>
          <w:sz w:val="26"/>
          <w:szCs w:val="26"/>
        </w:rPr>
        <w:tab/>
      </w:r>
    </w:p>
    <w:p w14:paraId="3B40CB27" w14:textId="423A915D" w:rsidR="005E04B1" w:rsidRPr="00003B88" w:rsidRDefault="005E04B1" w:rsidP="005E04B1">
      <w:pPr>
        <w:pStyle w:val="ListParagraph"/>
        <w:numPr>
          <w:ilvl w:val="0"/>
          <w:numId w:val="15"/>
        </w:numPr>
        <w:tabs>
          <w:tab w:val="clear" w:pos="360"/>
          <w:tab w:val="num" w:pos="426"/>
        </w:tabs>
        <w:ind w:left="426" w:hanging="426"/>
        <w:rPr>
          <w:rFonts w:ascii="Arial" w:hAnsi="Arial" w:cs="Arial"/>
          <w:b/>
          <w:sz w:val="26"/>
          <w:szCs w:val="26"/>
        </w:rPr>
      </w:pPr>
      <w:r w:rsidRPr="00003B88">
        <w:rPr>
          <w:rFonts w:ascii="Arial" w:hAnsi="Arial" w:cs="Arial"/>
          <w:b/>
          <w:sz w:val="20"/>
          <w:szCs w:val="20"/>
        </w:rPr>
        <w:t>údaje o krytých dlhopisoch, preregistrovaných hypotekárnych záložných listoch a hypotekárnych záložných listoch</w:t>
      </w:r>
    </w:p>
    <w:p w14:paraId="6949BEA0" w14:textId="3576F1E6" w:rsidR="005E04B1" w:rsidRPr="00003B88" w:rsidRDefault="005E04B1" w:rsidP="005E04B1">
      <w:pPr>
        <w:spacing w:line="240" w:lineRule="auto"/>
        <w:ind w:left="426" w:right="-426"/>
        <w:rPr>
          <w:rFonts w:ascii="Arial" w:hAnsi="Arial" w:cs="Arial"/>
          <w:sz w:val="20"/>
          <w:szCs w:val="20"/>
        </w:rPr>
      </w:pPr>
      <w:r w:rsidRPr="00003B88">
        <w:rPr>
          <w:rFonts w:ascii="Arial" w:hAnsi="Arial" w:cs="Arial"/>
          <w:sz w:val="20"/>
          <w:szCs w:val="20"/>
        </w:rPr>
        <w:t xml:space="preserve">Banka </w:t>
      </w:r>
      <w:r w:rsidR="00012836" w:rsidRPr="00003B88">
        <w:rPr>
          <w:rFonts w:ascii="Arial" w:hAnsi="Arial" w:cs="Arial"/>
          <w:sz w:val="20"/>
          <w:szCs w:val="20"/>
        </w:rPr>
        <w:t>k </w:t>
      </w:r>
      <w:r w:rsidR="00E758CD" w:rsidRPr="00003B88">
        <w:rPr>
          <w:rFonts w:ascii="Arial" w:hAnsi="Arial" w:cs="Arial"/>
          <w:sz w:val="20"/>
          <w:szCs w:val="20"/>
        </w:rPr>
        <w:t>3</w:t>
      </w:r>
      <w:r w:rsidR="00422481" w:rsidRPr="00003B88">
        <w:rPr>
          <w:rFonts w:ascii="Arial" w:hAnsi="Arial" w:cs="Arial"/>
          <w:sz w:val="20"/>
          <w:szCs w:val="20"/>
        </w:rPr>
        <w:t>1</w:t>
      </w:r>
      <w:r w:rsidR="00E758CD" w:rsidRPr="00003B88">
        <w:rPr>
          <w:rFonts w:ascii="Arial" w:hAnsi="Arial" w:cs="Arial"/>
          <w:sz w:val="20"/>
          <w:szCs w:val="20"/>
        </w:rPr>
        <w:t>.</w:t>
      </w:r>
      <w:r w:rsidR="00003B88">
        <w:rPr>
          <w:rFonts w:ascii="Arial" w:hAnsi="Arial" w:cs="Arial"/>
          <w:sz w:val="20"/>
          <w:szCs w:val="20"/>
        </w:rPr>
        <w:t>03</w:t>
      </w:r>
      <w:r w:rsidR="00E758CD" w:rsidRPr="00003B88">
        <w:rPr>
          <w:rFonts w:ascii="Arial" w:hAnsi="Arial" w:cs="Arial"/>
          <w:sz w:val="20"/>
          <w:szCs w:val="20"/>
        </w:rPr>
        <w:t>.202</w:t>
      </w:r>
      <w:r w:rsidR="00003B88">
        <w:rPr>
          <w:rFonts w:ascii="Arial" w:hAnsi="Arial" w:cs="Arial"/>
          <w:sz w:val="20"/>
          <w:szCs w:val="20"/>
        </w:rPr>
        <w:t>1</w:t>
      </w:r>
      <w:r w:rsidR="00D06A72" w:rsidRPr="00003B88">
        <w:rPr>
          <w:rFonts w:ascii="Arial" w:hAnsi="Arial" w:cs="Arial"/>
          <w:sz w:val="20"/>
          <w:szCs w:val="20"/>
        </w:rPr>
        <w:t xml:space="preserve"> </w:t>
      </w:r>
      <w:r w:rsidRPr="00003B88">
        <w:rPr>
          <w:rFonts w:ascii="Arial" w:hAnsi="Arial" w:cs="Arial"/>
          <w:sz w:val="20"/>
          <w:szCs w:val="20"/>
        </w:rPr>
        <w:t xml:space="preserve">neeviduje </w:t>
      </w:r>
      <w:r w:rsidR="006709EA" w:rsidRPr="00003B88">
        <w:rPr>
          <w:rFonts w:ascii="Arial" w:hAnsi="Arial" w:cs="Arial"/>
          <w:sz w:val="20"/>
          <w:szCs w:val="20"/>
        </w:rPr>
        <w:t>kryté dlhopisy</w:t>
      </w:r>
      <w:r w:rsidR="00D06A72" w:rsidRPr="00003B88">
        <w:rPr>
          <w:rFonts w:ascii="Arial" w:hAnsi="Arial" w:cs="Arial"/>
          <w:sz w:val="20"/>
          <w:szCs w:val="20"/>
        </w:rPr>
        <w:t>, preregistrované hypotekárne záložné listy ani</w:t>
      </w:r>
      <w:r w:rsidR="006709EA" w:rsidRPr="00003B88">
        <w:rPr>
          <w:rFonts w:ascii="Arial" w:hAnsi="Arial" w:cs="Arial"/>
          <w:sz w:val="20"/>
          <w:szCs w:val="20"/>
        </w:rPr>
        <w:t> hypotekárne záložné listy</w:t>
      </w:r>
      <w:r w:rsidRPr="00003B88">
        <w:rPr>
          <w:rFonts w:ascii="Arial" w:hAnsi="Arial" w:cs="Arial"/>
          <w:sz w:val="20"/>
          <w:szCs w:val="20"/>
        </w:rPr>
        <w:t>.</w:t>
      </w:r>
    </w:p>
    <w:p w14:paraId="3A2C8D9D" w14:textId="77777777" w:rsidR="006709EA" w:rsidRPr="00003B88" w:rsidRDefault="006709EA" w:rsidP="006709EA">
      <w:pPr>
        <w:pStyle w:val="ListParagraph"/>
        <w:ind w:left="426"/>
        <w:rPr>
          <w:rFonts w:ascii="Arial" w:hAnsi="Arial" w:cs="Arial"/>
          <w:b/>
          <w:sz w:val="26"/>
          <w:szCs w:val="26"/>
        </w:rPr>
      </w:pPr>
    </w:p>
    <w:p w14:paraId="790074C3" w14:textId="49A781D4" w:rsidR="006709EA" w:rsidRPr="00003B88" w:rsidRDefault="006709EA" w:rsidP="006709EA">
      <w:pPr>
        <w:pStyle w:val="ListParagraph"/>
        <w:numPr>
          <w:ilvl w:val="0"/>
          <w:numId w:val="15"/>
        </w:numPr>
        <w:tabs>
          <w:tab w:val="clear" w:pos="360"/>
          <w:tab w:val="num" w:pos="426"/>
        </w:tabs>
        <w:ind w:left="426" w:hanging="426"/>
        <w:rPr>
          <w:rFonts w:ascii="Arial" w:hAnsi="Arial" w:cs="Arial"/>
          <w:b/>
          <w:sz w:val="26"/>
          <w:szCs w:val="26"/>
        </w:rPr>
      </w:pPr>
      <w:r w:rsidRPr="00003B88">
        <w:rPr>
          <w:rFonts w:ascii="Arial" w:hAnsi="Arial" w:cs="Arial"/>
          <w:b/>
          <w:sz w:val="20"/>
          <w:szCs w:val="20"/>
        </w:rPr>
        <w:t xml:space="preserve">údaje o vlastných zdrojoch, rizikovo vážených aktívach, kapitálovom podiele a ukazovateli finančnej páky </w:t>
      </w:r>
    </w:p>
    <w:p w14:paraId="2EAA71B5" w14:textId="2E18E32C" w:rsidR="006709EA" w:rsidRDefault="006854EF" w:rsidP="007F3335">
      <w:pPr>
        <w:ind w:left="426"/>
        <w:rPr>
          <w:rFonts w:ascii="Arial" w:hAnsi="Arial" w:cs="Arial"/>
          <w:sz w:val="20"/>
          <w:szCs w:val="20"/>
        </w:rPr>
      </w:pPr>
      <w:r w:rsidRPr="00D96A99">
        <w:rPr>
          <w:rFonts w:ascii="Arial" w:hAnsi="Arial" w:cs="Arial"/>
          <w:sz w:val="20"/>
          <w:szCs w:val="20"/>
        </w:rPr>
        <w:t>Údaje sú uvedené v článk</w:t>
      </w:r>
      <w:r w:rsidR="007F3335" w:rsidRPr="00D96A99">
        <w:rPr>
          <w:rFonts w:ascii="Arial" w:hAnsi="Arial" w:cs="Arial"/>
          <w:sz w:val="20"/>
          <w:szCs w:val="20"/>
        </w:rPr>
        <w:t>u</w:t>
      </w:r>
      <w:r w:rsidRPr="00D96A99">
        <w:rPr>
          <w:rFonts w:ascii="Arial" w:hAnsi="Arial" w:cs="Arial"/>
          <w:sz w:val="20"/>
          <w:szCs w:val="20"/>
        </w:rPr>
        <w:t xml:space="preserve"> č. </w:t>
      </w:r>
      <w:r w:rsidR="007F3335" w:rsidRPr="00D96A99">
        <w:rPr>
          <w:rFonts w:ascii="Arial" w:hAnsi="Arial" w:cs="Arial"/>
          <w:sz w:val="20"/>
          <w:szCs w:val="20"/>
        </w:rPr>
        <w:t>473a - Prechodné opatrenia na zmiernenie vplyvu zavedenia IFRS9 na vlastné zdroje</w:t>
      </w:r>
      <w:r w:rsidRPr="00D96A99">
        <w:rPr>
          <w:rFonts w:ascii="Arial" w:hAnsi="Arial" w:cs="Arial"/>
          <w:sz w:val="20"/>
          <w:szCs w:val="20"/>
        </w:rPr>
        <w:t>.</w:t>
      </w:r>
    </w:p>
    <w:p w14:paraId="0BCFE707" w14:textId="3939057F" w:rsidR="00170D56" w:rsidRDefault="00170D56" w:rsidP="007F3335">
      <w:pPr>
        <w:ind w:left="426"/>
        <w:rPr>
          <w:rFonts w:ascii="Arial" w:hAnsi="Arial" w:cs="Arial"/>
          <w:sz w:val="20"/>
          <w:szCs w:val="20"/>
        </w:rPr>
      </w:pPr>
    </w:p>
    <w:p w14:paraId="5B949E98" w14:textId="6F9515AB" w:rsidR="00E81D22" w:rsidRDefault="00E81D22" w:rsidP="007F3335">
      <w:pPr>
        <w:ind w:left="426"/>
        <w:rPr>
          <w:rFonts w:ascii="Arial" w:hAnsi="Arial" w:cs="Arial"/>
          <w:sz w:val="20"/>
          <w:szCs w:val="20"/>
        </w:rPr>
      </w:pPr>
    </w:p>
    <w:p w14:paraId="456D22E7" w14:textId="06E0D369" w:rsidR="00E81D22" w:rsidRDefault="00E81D22" w:rsidP="007F3335">
      <w:pPr>
        <w:ind w:left="426"/>
        <w:rPr>
          <w:rFonts w:ascii="Arial" w:hAnsi="Arial" w:cs="Arial"/>
          <w:sz w:val="20"/>
          <w:szCs w:val="20"/>
        </w:rPr>
      </w:pPr>
    </w:p>
    <w:p w14:paraId="7A1B0E4D" w14:textId="7B0091C9" w:rsidR="00E81D22" w:rsidRDefault="00E81D22" w:rsidP="007F3335">
      <w:pPr>
        <w:ind w:left="426"/>
        <w:rPr>
          <w:rFonts w:ascii="Arial" w:hAnsi="Arial" w:cs="Arial"/>
          <w:sz w:val="20"/>
          <w:szCs w:val="20"/>
        </w:rPr>
      </w:pPr>
    </w:p>
    <w:p w14:paraId="5FE5C8EC" w14:textId="0D59FE26" w:rsidR="00E81D22" w:rsidRDefault="00E81D22" w:rsidP="007F3335">
      <w:pPr>
        <w:ind w:left="426"/>
        <w:rPr>
          <w:rFonts w:ascii="Arial" w:hAnsi="Arial" w:cs="Arial"/>
          <w:sz w:val="20"/>
          <w:szCs w:val="20"/>
        </w:rPr>
      </w:pPr>
    </w:p>
    <w:p w14:paraId="5077A74F" w14:textId="195A61AF" w:rsidR="00E81D22" w:rsidRDefault="00E81D22" w:rsidP="007F3335">
      <w:pPr>
        <w:ind w:left="426"/>
        <w:rPr>
          <w:rFonts w:ascii="Arial" w:hAnsi="Arial" w:cs="Arial"/>
          <w:sz w:val="20"/>
          <w:szCs w:val="20"/>
        </w:rPr>
      </w:pPr>
    </w:p>
    <w:p w14:paraId="3B624433" w14:textId="43DF3943" w:rsidR="00E81D22" w:rsidRDefault="00E81D22" w:rsidP="007F3335">
      <w:pPr>
        <w:ind w:left="426"/>
        <w:rPr>
          <w:rFonts w:ascii="Arial" w:hAnsi="Arial" w:cs="Arial"/>
          <w:sz w:val="20"/>
          <w:szCs w:val="20"/>
        </w:rPr>
      </w:pPr>
    </w:p>
    <w:p w14:paraId="65A485EC" w14:textId="73B28C9E" w:rsidR="00E81D22" w:rsidRDefault="00E81D22" w:rsidP="007F3335">
      <w:pPr>
        <w:ind w:left="426"/>
        <w:rPr>
          <w:rFonts w:ascii="Arial" w:hAnsi="Arial" w:cs="Arial"/>
          <w:sz w:val="20"/>
          <w:szCs w:val="20"/>
        </w:rPr>
      </w:pPr>
    </w:p>
    <w:p w14:paraId="0115610D" w14:textId="619D230F" w:rsidR="00EC5A04" w:rsidRDefault="00EC5A04" w:rsidP="007F3335">
      <w:pPr>
        <w:ind w:left="426"/>
        <w:rPr>
          <w:rFonts w:ascii="Arial" w:hAnsi="Arial" w:cs="Arial"/>
          <w:sz w:val="20"/>
          <w:szCs w:val="20"/>
        </w:rPr>
        <w:sectPr w:rsidR="00EC5A04" w:rsidSect="00AF6CC9">
          <w:footerReference w:type="default" r:id="rId14"/>
          <w:pgSz w:w="11906" w:h="16838" w:code="9"/>
          <w:pgMar w:top="1418" w:right="991" w:bottom="1418" w:left="1418" w:header="709" w:footer="709" w:gutter="0"/>
          <w:cols w:space="708"/>
          <w:docGrid w:linePitch="360"/>
        </w:sectPr>
      </w:pPr>
    </w:p>
    <w:p w14:paraId="32E4E3CF" w14:textId="77777777" w:rsidR="00EC5A04" w:rsidRPr="00F02751" w:rsidRDefault="00EC5A04" w:rsidP="00EC5A04">
      <w:pPr>
        <w:pStyle w:val="ListParagraph"/>
        <w:numPr>
          <w:ilvl w:val="0"/>
          <w:numId w:val="15"/>
        </w:numPr>
        <w:tabs>
          <w:tab w:val="clear" w:pos="360"/>
          <w:tab w:val="num" w:pos="426"/>
        </w:tabs>
        <w:ind w:left="426" w:hanging="426"/>
        <w:rPr>
          <w:rFonts w:ascii="Arial" w:hAnsi="Arial" w:cs="Arial"/>
          <w:b/>
          <w:color w:val="000000" w:themeColor="text1"/>
          <w:sz w:val="20"/>
          <w:szCs w:val="20"/>
        </w:rPr>
      </w:pPr>
      <w:r w:rsidRPr="00F02751">
        <w:rPr>
          <w:rFonts w:ascii="Arial" w:hAnsi="Arial" w:cs="Arial"/>
          <w:b/>
          <w:color w:val="000000" w:themeColor="text1"/>
          <w:sz w:val="20"/>
          <w:szCs w:val="20"/>
        </w:rPr>
        <w:t>údaje o problémových expozíciách a expozíciách s odloženou splatnosťou</w:t>
      </w:r>
    </w:p>
    <w:p w14:paraId="68021275" w14:textId="1BF1F52B" w:rsidR="00E81D22" w:rsidRDefault="00E81D22" w:rsidP="007F3335">
      <w:pPr>
        <w:ind w:left="426"/>
        <w:rPr>
          <w:rFonts w:ascii="Arial" w:hAnsi="Arial" w:cs="Arial"/>
          <w:sz w:val="20"/>
          <w:szCs w:val="20"/>
        </w:rPr>
      </w:pPr>
    </w:p>
    <w:p w14:paraId="23F7D0D3" w14:textId="49212F50" w:rsidR="00E81D22" w:rsidRDefault="00EA7F95" w:rsidP="005E4322">
      <w:pPr>
        <w:rPr>
          <w:rFonts w:ascii="Arial" w:hAnsi="Arial" w:cs="Arial"/>
          <w:b/>
          <w:color w:val="000000" w:themeColor="text1"/>
          <w:sz w:val="20"/>
          <w:szCs w:val="20"/>
        </w:rPr>
        <w:sectPr w:rsidR="00E81D22" w:rsidSect="00EC5A04">
          <w:pgSz w:w="16838" w:h="11906" w:orient="landscape" w:code="9"/>
          <w:pgMar w:top="1418" w:right="284" w:bottom="992" w:left="567" w:header="709" w:footer="709" w:gutter="0"/>
          <w:cols w:space="708"/>
          <w:docGrid w:linePitch="360"/>
        </w:sectPr>
      </w:pPr>
      <w:r w:rsidRPr="000D720D">
        <w:rPr>
          <w:noProof/>
        </w:rPr>
        <w:drawing>
          <wp:inline distT="0" distB="0" distL="0" distR="0" wp14:anchorId="1920E81B" wp14:editId="541FC715">
            <wp:extent cx="9696450" cy="516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6450" cy="5162550"/>
                    </a:xfrm>
                    <a:prstGeom prst="rect">
                      <a:avLst/>
                    </a:prstGeom>
                    <a:noFill/>
                    <a:ln>
                      <a:noFill/>
                    </a:ln>
                  </pic:spPr>
                </pic:pic>
              </a:graphicData>
            </a:graphic>
          </wp:inline>
        </w:drawing>
      </w:r>
    </w:p>
    <w:p w14:paraId="7270174A" w14:textId="77777777" w:rsidR="00C60CC2" w:rsidRPr="00880AF7" w:rsidRDefault="00C60CC2" w:rsidP="00C60CC2">
      <w:pPr>
        <w:spacing w:line="240" w:lineRule="auto"/>
        <w:ind w:right="-426"/>
        <w:jc w:val="center"/>
        <w:rPr>
          <w:rFonts w:ascii="Arial" w:hAnsi="Arial" w:cs="Arial"/>
          <w:b/>
          <w:sz w:val="26"/>
          <w:szCs w:val="26"/>
        </w:rPr>
      </w:pPr>
      <w:r w:rsidRPr="00880AF7">
        <w:rPr>
          <w:rFonts w:ascii="Arial" w:hAnsi="Arial" w:cs="Arial"/>
          <w:b/>
          <w:sz w:val="26"/>
          <w:szCs w:val="26"/>
        </w:rPr>
        <w:t>§ 1 ods. (4) Informácie o desiatich najväčších akcionároch banky, ktorí sú rezidentmi a ktorí vlastnia viac ako 5 %-</w:t>
      </w:r>
      <w:proofErr w:type="spellStart"/>
      <w:r w:rsidRPr="00880AF7">
        <w:rPr>
          <w:rFonts w:ascii="Arial" w:hAnsi="Arial" w:cs="Arial"/>
          <w:b/>
          <w:sz w:val="26"/>
          <w:szCs w:val="26"/>
        </w:rPr>
        <w:t>ný</w:t>
      </w:r>
      <w:proofErr w:type="spellEnd"/>
      <w:r w:rsidRPr="00880AF7">
        <w:rPr>
          <w:rFonts w:ascii="Arial" w:hAnsi="Arial" w:cs="Arial"/>
          <w:b/>
          <w:sz w:val="26"/>
          <w:szCs w:val="26"/>
        </w:rPr>
        <w:t xml:space="preserve"> podiel na základnom imaní banky</w:t>
      </w:r>
    </w:p>
    <w:p w14:paraId="513A7502" w14:textId="20C9A95C" w:rsidR="00C60CC2" w:rsidRPr="00880AF7" w:rsidRDefault="00C60CC2" w:rsidP="00C60CC2">
      <w:pPr>
        <w:spacing w:line="240" w:lineRule="auto"/>
        <w:ind w:right="-426"/>
        <w:rPr>
          <w:rFonts w:ascii="Arial" w:hAnsi="Arial" w:cs="Arial"/>
          <w:sz w:val="20"/>
          <w:szCs w:val="20"/>
        </w:rPr>
      </w:pPr>
      <w:r w:rsidRPr="00880AF7">
        <w:rPr>
          <w:rFonts w:ascii="Arial" w:hAnsi="Arial" w:cs="Arial"/>
          <w:sz w:val="20"/>
          <w:szCs w:val="20"/>
        </w:rPr>
        <w:t>Banka neeviduje žiadneho akcionára banky, ktorí je rezidentom a vlastní viac ako 5%-</w:t>
      </w:r>
      <w:proofErr w:type="spellStart"/>
      <w:r w:rsidRPr="00880AF7">
        <w:rPr>
          <w:rFonts w:ascii="Arial" w:hAnsi="Arial" w:cs="Arial"/>
          <w:sz w:val="20"/>
          <w:szCs w:val="20"/>
        </w:rPr>
        <w:t>ný</w:t>
      </w:r>
      <w:proofErr w:type="spellEnd"/>
      <w:r w:rsidRPr="00880AF7">
        <w:rPr>
          <w:rFonts w:ascii="Arial" w:hAnsi="Arial" w:cs="Arial"/>
          <w:sz w:val="20"/>
          <w:szCs w:val="20"/>
        </w:rPr>
        <w:t xml:space="preserve"> podiel na základom imaní.</w:t>
      </w:r>
    </w:p>
    <w:p w14:paraId="3C388223" w14:textId="77777777" w:rsidR="007F1FA0" w:rsidRPr="00880AF7" w:rsidRDefault="007F1FA0" w:rsidP="00C60CC2">
      <w:pPr>
        <w:spacing w:line="240" w:lineRule="auto"/>
        <w:ind w:right="-426"/>
        <w:rPr>
          <w:rFonts w:ascii="Arial" w:hAnsi="Arial" w:cs="Arial"/>
          <w:sz w:val="20"/>
          <w:szCs w:val="20"/>
        </w:rPr>
      </w:pPr>
    </w:p>
    <w:p w14:paraId="02C1B1B9" w14:textId="77777777" w:rsidR="00C60CC2" w:rsidRPr="00B13FC6" w:rsidRDefault="00C60CC2" w:rsidP="00C60CC2">
      <w:pPr>
        <w:spacing w:line="240" w:lineRule="auto"/>
        <w:ind w:right="-426"/>
        <w:jc w:val="center"/>
        <w:rPr>
          <w:rFonts w:ascii="Arial" w:hAnsi="Arial" w:cs="Arial"/>
          <w:b/>
          <w:sz w:val="26"/>
          <w:szCs w:val="26"/>
        </w:rPr>
      </w:pPr>
      <w:r w:rsidRPr="00880AF7">
        <w:rPr>
          <w:rFonts w:ascii="Arial" w:hAnsi="Arial" w:cs="Arial"/>
          <w:b/>
          <w:sz w:val="26"/>
          <w:szCs w:val="26"/>
        </w:rPr>
        <w:t>§ 1 ods. (4) Informácie o desiatich najväčších akcionároch banky, ktorí sú nerezidentmi a ktorí vlastnia viac ako 5 %-</w:t>
      </w:r>
      <w:proofErr w:type="spellStart"/>
      <w:r w:rsidRPr="00880AF7">
        <w:rPr>
          <w:rFonts w:ascii="Arial" w:hAnsi="Arial" w:cs="Arial"/>
          <w:b/>
          <w:sz w:val="26"/>
          <w:szCs w:val="26"/>
        </w:rPr>
        <w:t>ný</w:t>
      </w:r>
      <w:proofErr w:type="spellEnd"/>
      <w:r w:rsidRPr="00880AF7">
        <w:rPr>
          <w:rFonts w:ascii="Arial" w:hAnsi="Arial" w:cs="Arial"/>
          <w:b/>
          <w:sz w:val="26"/>
          <w:szCs w:val="26"/>
        </w:rPr>
        <w:t xml:space="preserve"> podiel na základnom imaní banky</w:t>
      </w:r>
    </w:p>
    <w:p w14:paraId="32099B77" w14:textId="35036389" w:rsidR="00C60CC2" w:rsidRPr="00B13FC6" w:rsidRDefault="00C60CC2" w:rsidP="00FD19C8">
      <w:pPr>
        <w:pStyle w:val="ListParagraph"/>
        <w:numPr>
          <w:ilvl w:val="0"/>
          <w:numId w:val="1"/>
        </w:numPr>
        <w:ind w:right="-426" w:hanging="785"/>
        <w:rPr>
          <w:rFonts w:ascii="Arial" w:hAnsi="Arial" w:cs="Arial"/>
          <w:b/>
          <w:sz w:val="20"/>
          <w:szCs w:val="20"/>
        </w:rPr>
      </w:pPr>
      <w:r w:rsidRPr="00B13FC6">
        <w:rPr>
          <w:rFonts w:ascii="Arial" w:hAnsi="Arial" w:cs="Arial"/>
          <w:b/>
          <w:sz w:val="20"/>
          <w:szCs w:val="20"/>
        </w:rPr>
        <w:t>právnická osoba</w:t>
      </w:r>
    </w:p>
    <w:tbl>
      <w:tblPr>
        <w:tblW w:w="9442"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94"/>
        <w:gridCol w:w="1124"/>
        <w:gridCol w:w="1269"/>
        <w:gridCol w:w="1530"/>
        <w:gridCol w:w="1596"/>
        <w:gridCol w:w="843"/>
        <w:gridCol w:w="1286"/>
      </w:tblGrid>
      <w:tr w:rsidR="00C60CC2" w:rsidRPr="00B13FC6" w14:paraId="5E2DD41B" w14:textId="77777777" w:rsidTr="00C27990">
        <w:trPr>
          <w:trHeight w:val="765"/>
        </w:trPr>
        <w:tc>
          <w:tcPr>
            <w:tcW w:w="1796" w:type="dxa"/>
            <w:tcBorders>
              <w:top w:val="single" w:sz="4" w:space="0" w:color="auto"/>
              <w:bottom w:val="single" w:sz="4" w:space="0" w:color="auto"/>
            </w:tcBorders>
            <w:shd w:val="clear" w:color="auto" w:fill="auto"/>
            <w:vAlign w:val="bottom"/>
            <w:hideMark/>
          </w:tcPr>
          <w:p w14:paraId="359DEF3C"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Názov a obchodné meno</w:t>
            </w:r>
          </w:p>
        </w:tc>
        <w:tc>
          <w:tcPr>
            <w:tcW w:w="1124" w:type="dxa"/>
            <w:tcBorders>
              <w:top w:val="single" w:sz="4" w:space="0" w:color="auto"/>
              <w:bottom w:val="single" w:sz="4" w:space="0" w:color="auto"/>
            </w:tcBorders>
            <w:shd w:val="clear" w:color="auto" w:fill="auto"/>
            <w:noWrap/>
            <w:vAlign w:val="bottom"/>
            <w:hideMark/>
          </w:tcPr>
          <w:p w14:paraId="06EFA3D2"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 xml:space="preserve">Právna forma </w:t>
            </w:r>
          </w:p>
        </w:tc>
        <w:tc>
          <w:tcPr>
            <w:tcW w:w="1269" w:type="dxa"/>
            <w:tcBorders>
              <w:top w:val="single" w:sz="4" w:space="0" w:color="auto"/>
              <w:bottom w:val="single" w:sz="4" w:space="0" w:color="auto"/>
            </w:tcBorders>
            <w:shd w:val="clear" w:color="auto" w:fill="auto"/>
            <w:noWrap/>
            <w:vAlign w:val="bottom"/>
            <w:hideMark/>
          </w:tcPr>
          <w:p w14:paraId="326C6CA8"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Sídlo</w:t>
            </w:r>
          </w:p>
        </w:tc>
        <w:tc>
          <w:tcPr>
            <w:tcW w:w="1530" w:type="dxa"/>
            <w:tcBorders>
              <w:top w:val="single" w:sz="4" w:space="0" w:color="auto"/>
              <w:bottom w:val="single" w:sz="4" w:space="0" w:color="auto"/>
            </w:tcBorders>
            <w:shd w:val="clear" w:color="auto" w:fill="auto"/>
            <w:noWrap/>
            <w:vAlign w:val="bottom"/>
            <w:hideMark/>
          </w:tcPr>
          <w:p w14:paraId="049139CF"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IČO</w:t>
            </w:r>
          </w:p>
        </w:tc>
        <w:tc>
          <w:tcPr>
            <w:tcW w:w="1597" w:type="dxa"/>
            <w:tcBorders>
              <w:top w:val="single" w:sz="4" w:space="0" w:color="auto"/>
              <w:bottom w:val="single" w:sz="4" w:space="0" w:color="auto"/>
            </w:tcBorders>
            <w:shd w:val="clear" w:color="auto" w:fill="auto"/>
            <w:vAlign w:val="bottom"/>
            <w:hideMark/>
          </w:tcPr>
          <w:p w14:paraId="52636655"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Hlavný predmet činnosti</w:t>
            </w:r>
          </w:p>
        </w:tc>
        <w:tc>
          <w:tcPr>
            <w:tcW w:w="843" w:type="dxa"/>
            <w:tcBorders>
              <w:top w:val="single" w:sz="4" w:space="0" w:color="auto"/>
              <w:bottom w:val="single" w:sz="4" w:space="0" w:color="auto"/>
            </w:tcBorders>
            <w:shd w:val="clear" w:color="auto" w:fill="auto"/>
            <w:vAlign w:val="bottom"/>
            <w:hideMark/>
          </w:tcPr>
          <w:p w14:paraId="4A59A431"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Podiel na ZI banky v %</w:t>
            </w:r>
          </w:p>
        </w:tc>
        <w:tc>
          <w:tcPr>
            <w:tcW w:w="1283" w:type="dxa"/>
            <w:tcBorders>
              <w:top w:val="single" w:sz="4" w:space="0" w:color="auto"/>
              <w:bottom w:val="single" w:sz="4" w:space="0" w:color="auto"/>
            </w:tcBorders>
            <w:shd w:val="clear" w:color="auto" w:fill="auto"/>
            <w:vAlign w:val="bottom"/>
            <w:hideMark/>
          </w:tcPr>
          <w:p w14:paraId="6BFCD96B"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Podiel na hlasovacích právach v %</w:t>
            </w:r>
          </w:p>
        </w:tc>
      </w:tr>
      <w:tr w:rsidR="00C60CC2" w:rsidRPr="00B13FC6" w14:paraId="4BC02CD9" w14:textId="77777777" w:rsidTr="00C27990">
        <w:trPr>
          <w:trHeight w:val="765"/>
        </w:trPr>
        <w:tc>
          <w:tcPr>
            <w:tcW w:w="1796" w:type="dxa"/>
            <w:tcBorders>
              <w:top w:val="single" w:sz="4" w:space="0" w:color="auto"/>
            </w:tcBorders>
            <w:shd w:val="clear" w:color="auto" w:fill="auto"/>
            <w:noWrap/>
            <w:vAlign w:val="bottom"/>
            <w:hideMark/>
          </w:tcPr>
          <w:p w14:paraId="1F2F01ED" w14:textId="5DD392C2" w:rsidR="00C60CC2" w:rsidRPr="00B13FC6" w:rsidRDefault="00C27990" w:rsidP="00F2541B">
            <w:pPr>
              <w:spacing w:after="0" w:line="240" w:lineRule="auto"/>
              <w:rPr>
                <w:rFonts w:ascii="Arial" w:eastAsia="Times New Roman" w:hAnsi="Arial" w:cs="Arial"/>
                <w:sz w:val="20"/>
                <w:szCs w:val="20"/>
              </w:rPr>
            </w:pPr>
            <w:r w:rsidRPr="00C27990">
              <w:rPr>
                <w:rFonts w:ascii="Arial" w:eastAsia="Times New Roman" w:hAnsi="Arial" w:cs="Arial"/>
                <w:sz w:val="20"/>
                <w:szCs w:val="20"/>
              </w:rPr>
              <w:t>KBC Bank N.V.</w:t>
            </w:r>
          </w:p>
        </w:tc>
        <w:tc>
          <w:tcPr>
            <w:tcW w:w="1124" w:type="dxa"/>
            <w:tcBorders>
              <w:top w:val="single" w:sz="4" w:space="0" w:color="auto"/>
            </w:tcBorders>
            <w:shd w:val="clear" w:color="auto" w:fill="auto"/>
            <w:vAlign w:val="bottom"/>
            <w:hideMark/>
          </w:tcPr>
          <w:p w14:paraId="6969AD13" w14:textId="77777777" w:rsidR="00C60CC2" w:rsidRPr="00B13FC6" w:rsidRDefault="00C60CC2" w:rsidP="00F2541B">
            <w:pPr>
              <w:spacing w:after="0" w:line="240" w:lineRule="auto"/>
              <w:rPr>
                <w:rFonts w:ascii="Arial" w:eastAsia="Times New Roman" w:hAnsi="Arial" w:cs="Arial"/>
                <w:sz w:val="20"/>
                <w:szCs w:val="20"/>
              </w:rPr>
            </w:pPr>
            <w:r w:rsidRPr="00B13FC6">
              <w:rPr>
                <w:rFonts w:ascii="Arial" w:eastAsia="Times New Roman" w:hAnsi="Arial" w:cs="Arial"/>
                <w:sz w:val="20"/>
                <w:szCs w:val="20"/>
              </w:rPr>
              <w:t>akciová spoločnosť</w:t>
            </w:r>
          </w:p>
        </w:tc>
        <w:tc>
          <w:tcPr>
            <w:tcW w:w="1269" w:type="dxa"/>
            <w:tcBorders>
              <w:top w:val="single" w:sz="4" w:space="0" w:color="auto"/>
            </w:tcBorders>
            <w:shd w:val="clear" w:color="auto" w:fill="auto"/>
            <w:vAlign w:val="bottom"/>
            <w:hideMark/>
          </w:tcPr>
          <w:p w14:paraId="1908DF5D" w14:textId="61B999E0" w:rsidR="00C27990" w:rsidRPr="00C27990" w:rsidRDefault="00C27990" w:rsidP="00C27990">
            <w:pPr>
              <w:spacing w:after="0" w:line="240" w:lineRule="auto"/>
              <w:rPr>
                <w:rFonts w:ascii="Arial" w:eastAsia="Times New Roman" w:hAnsi="Arial" w:cs="Arial"/>
                <w:sz w:val="20"/>
                <w:szCs w:val="20"/>
              </w:rPr>
            </w:pPr>
            <w:proofErr w:type="spellStart"/>
            <w:r w:rsidRPr="00C27990">
              <w:rPr>
                <w:rFonts w:ascii="Arial" w:eastAsia="Times New Roman" w:hAnsi="Arial" w:cs="Arial"/>
                <w:sz w:val="20"/>
                <w:szCs w:val="20"/>
              </w:rPr>
              <w:t>Havenlaan</w:t>
            </w:r>
            <w:proofErr w:type="spellEnd"/>
            <w:r w:rsidRPr="00C27990">
              <w:rPr>
                <w:rFonts w:ascii="Arial" w:eastAsia="Times New Roman" w:hAnsi="Arial" w:cs="Arial"/>
                <w:sz w:val="20"/>
                <w:szCs w:val="20"/>
              </w:rPr>
              <w:t xml:space="preserve"> 2</w:t>
            </w:r>
            <w:r w:rsidR="00FE62A6">
              <w:rPr>
                <w:rFonts w:ascii="Arial" w:eastAsia="Times New Roman" w:hAnsi="Arial" w:cs="Arial"/>
                <w:sz w:val="20"/>
                <w:szCs w:val="20"/>
              </w:rPr>
              <w:t>, 1080</w:t>
            </w:r>
          </w:p>
          <w:p w14:paraId="046DA7B0" w14:textId="77777777" w:rsidR="00C27990" w:rsidRPr="00C27990"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Brusel</w:t>
            </w:r>
          </w:p>
          <w:p w14:paraId="162192CA" w14:textId="7DC6C78D" w:rsidR="00C60CC2" w:rsidRPr="00B13FC6"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Belgicko</w:t>
            </w:r>
          </w:p>
        </w:tc>
        <w:tc>
          <w:tcPr>
            <w:tcW w:w="1530" w:type="dxa"/>
            <w:tcBorders>
              <w:top w:val="single" w:sz="4" w:space="0" w:color="auto"/>
            </w:tcBorders>
            <w:shd w:val="clear" w:color="auto" w:fill="auto"/>
            <w:noWrap/>
            <w:vAlign w:val="bottom"/>
            <w:hideMark/>
          </w:tcPr>
          <w:p w14:paraId="2108FD8A" w14:textId="6D3A2284" w:rsidR="00C60CC2" w:rsidRPr="00B13FC6" w:rsidRDefault="00C27990" w:rsidP="00F2541B">
            <w:pPr>
              <w:spacing w:after="0" w:line="240" w:lineRule="auto"/>
              <w:jc w:val="center"/>
              <w:rPr>
                <w:rFonts w:ascii="Arial" w:eastAsia="Times New Roman" w:hAnsi="Arial" w:cs="Arial"/>
                <w:sz w:val="20"/>
                <w:szCs w:val="20"/>
              </w:rPr>
            </w:pPr>
            <w:r w:rsidRPr="00C27990">
              <w:rPr>
                <w:rFonts w:ascii="Arial" w:eastAsia="Times New Roman" w:hAnsi="Arial" w:cs="Arial"/>
                <w:sz w:val="20"/>
                <w:szCs w:val="20"/>
              </w:rPr>
              <w:t>0462.920.226</w:t>
            </w:r>
          </w:p>
        </w:tc>
        <w:tc>
          <w:tcPr>
            <w:tcW w:w="1597" w:type="dxa"/>
            <w:tcBorders>
              <w:top w:val="single" w:sz="4" w:space="0" w:color="auto"/>
            </w:tcBorders>
            <w:shd w:val="clear" w:color="auto" w:fill="auto"/>
            <w:noWrap/>
            <w:vAlign w:val="bottom"/>
            <w:hideMark/>
          </w:tcPr>
          <w:p w14:paraId="70F36CC6" w14:textId="77777777" w:rsidR="00C60CC2" w:rsidRPr="00B13FC6" w:rsidRDefault="00C60CC2" w:rsidP="00F2541B">
            <w:pPr>
              <w:spacing w:after="0" w:line="240" w:lineRule="auto"/>
              <w:rPr>
                <w:rFonts w:ascii="Arial" w:eastAsia="Times New Roman" w:hAnsi="Arial" w:cs="Arial"/>
                <w:sz w:val="20"/>
                <w:szCs w:val="20"/>
              </w:rPr>
            </w:pPr>
            <w:r w:rsidRPr="00B13FC6">
              <w:rPr>
                <w:rFonts w:ascii="Arial" w:eastAsia="Times New Roman" w:hAnsi="Arial" w:cs="Arial"/>
                <w:sz w:val="20"/>
                <w:szCs w:val="20"/>
              </w:rPr>
              <w:t>bankovníctvo</w:t>
            </w:r>
          </w:p>
        </w:tc>
        <w:tc>
          <w:tcPr>
            <w:tcW w:w="843" w:type="dxa"/>
            <w:tcBorders>
              <w:top w:val="single" w:sz="4" w:space="0" w:color="auto"/>
            </w:tcBorders>
            <w:shd w:val="clear" w:color="auto" w:fill="auto"/>
            <w:noWrap/>
            <w:vAlign w:val="bottom"/>
            <w:hideMark/>
          </w:tcPr>
          <w:p w14:paraId="45A0D95F" w14:textId="2EBCA07A" w:rsidR="00C60CC2" w:rsidRPr="00B13FC6" w:rsidRDefault="00C60CC2" w:rsidP="000A75BD">
            <w:pPr>
              <w:spacing w:after="0" w:line="240" w:lineRule="auto"/>
              <w:jc w:val="right"/>
              <w:rPr>
                <w:rFonts w:ascii="Arial" w:eastAsia="Times New Roman" w:hAnsi="Arial" w:cs="Arial"/>
                <w:sz w:val="20"/>
                <w:szCs w:val="20"/>
              </w:rPr>
            </w:pPr>
            <w:r w:rsidRPr="00B13FC6">
              <w:rPr>
                <w:rFonts w:ascii="Arial" w:eastAsia="Times New Roman" w:hAnsi="Arial" w:cs="Arial"/>
                <w:sz w:val="20"/>
                <w:szCs w:val="20"/>
              </w:rPr>
              <w:t>99,</w:t>
            </w:r>
            <w:r w:rsidR="005B5A40">
              <w:rPr>
                <w:rFonts w:ascii="Arial" w:eastAsia="Times New Roman" w:hAnsi="Arial" w:cs="Arial"/>
                <w:sz w:val="20"/>
                <w:szCs w:val="20"/>
              </w:rPr>
              <w:t>63</w:t>
            </w:r>
          </w:p>
        </w:tc>
        <w:tc>
          <w:tcPr>
            <w:tcW w:w="1283" w:type="dxa"/>
            <w:tcBorders>
              <w:top w:val="single" w:sz="4" w:space="0" w:color="auto"/>
            </w:tcBorders>
            <w:shd w:val="clear" w:color="auto" w:fill="auto"/>
            <w:noWrap/>
            <w:vAlign w:val="bottom"/>
            <w:hideMark/>
          </w:tcPr>
          <w:p w14:paraId="46BFEBA6" w14:textId="4517E2D1" w:rsidR="00C60CC2" w:rsidRPr="00B13FC6" w:rsidRDefault="00C60CC2" w:rsidP="000A75BD">
            <w:pPr>
              <w:spacing w:after="0" w:line="240" w:lineRule="auto"/>
              <w:jc w:val="right"/>
              <w:rPr>
                <w:rFonts w:ascii="Arial" w:eastAsia="Times New Roman" w:hAnsi="Arial" w:cs="Arial"/>
                <w:sz w:val="20"/>
                <w:szCs w:val="20"/>
              </w:rPr>
            </w:pPr>
            <w:r w:rsidRPr="00B13FC6">
              <w:rPr>
                <w:rFonts w:ascii="Arial" w:eastAsia="Times New Roman" w:hAnsi="Arial" w:cs="Arial"/>
                <w:sz w:val="20"/>
                <w:szCs w:val="20"/>
              </w:rPr>
              <w:t>99,</w:t>
            </w:r>
            <w:r w:rsidR="005B5A40">
              <w:rPr>
                <w:rFonts w:ascii="Arial" w:eastAsia="Times New Roman" w:hAnsi="Arial" w:cs="Arial"/>
                <w:sz w:val="20"/>
                <w:szCs w:val="20"/>
              </w:rPr>
              <w:t>63</w:t>
            </w:r>
          </w:p>
        </w:tc>
      </w:tr>
    </w:tbl>
    <w:p w14:paraId="2685701A" w14:textId="7B8B998A" w:rsidR="00C60CC2" w:rsidRDefault="00C60CC2" w:rsidP="00C60CC2">
      <w:pPr>
        <w:spacing w:line="240" w:lineRule="auto"/>
        <w:ind w:right="-426"/>
        <w:jc w:val="center"/>
        <w:rPr>
          <w:rFonts w:ascii="Arial" w:hAnsi="Arial" w:cs="Arial"/>
          <w:b/>
          <w:sz w:val="26"/>
          <w:szCs w:val="26"/>
        </w:rPr>
      </w:pPr>
    </w:p>
    <w:p w14:paraId="358E4429" w14:textId="77777777" w:rsidR="007F1FA0" w:rsidRPr="00B13FC6" w:rsidRDefault="007F1FA0" w:rsidP="00C60CC2">
      <w:pPr>
        <w:spacing w:line="240" w:lineRule="auto"/>
        <w:ind w:right="-426"/>
        <w:jc w:val="center"/>
        <w:rPr>
          <w:rFonts w:ascii="Arial" w:hAnsi="Arial" w:cs="Arial"/>
          <w:b/>
          <w:sz w:val="26"/>
          <w:szCs w:val="26"/>
        </w:rPr>
      </w:pPr>
    </w:p>
    <w:p w14:paraId="40A3FAF3" w14:textId="77777777" w:rsidR="00C60CC2" w:rsidRPr="00B13FC6" w:rsidRDefault="00C60CC2" w:rsidP="00C60CC2">
      <w:pPr>
        <w:ind w:right="-426" w:firstLine="284"/>
        <w:rPr>
          <w:rFonts w:ascii="Arial" w:hAnsi="Arial" w:cs="Arial"/>
          <w:sz w:val="26"/>
          <w:szCs w:val="26"/>
        </w:rPr>
      </w:pPr>
      <w:r w:rsidRPr="00880AF7">
        <w:rPr>
          <w:rFonts w:ascii="Arial" w:hAnsi="Arial" w:cs="Arial"/>
          <w:b/>
          <w:sz w:val="26"/>
          <w:szCs w:val="26"/>
        </w:rPr>
        <w:t>§ 1 ods. (5) Informácie o ostatných akcionároch banky</w:t>
      </w:r>
    </w:p>
    <w:p w14:paraId="6DDF24A6" w14:textId="30A9E603" w:rsidR="00C60CC2" w:rsidRPr="00E87471" w:rsidRDefault="00C60CC2" w:rsidP="00F33F13">
      <w:pPr>
        <w:pStyle w:val="ListParagraph"/>
        <w:numPr>
          <w:ilvl w:val="0"/>
          <w:numId w:val="4"/>
        </w:numPr>
        <w:spacing w:after="0" w:line="240" w:lineRule="auto"/>
        <w:ind w:left="567" w:right="-426" w:hanging="709"/>
        <w:rPr>
          <w:rFonts w:ascii="Arial" w:hAnsi="Arial" w:cs="Arial"/>
          <w:sz w:val="20"/>
          <w:szCs w:val="20"/>
        </w:rPr>
      </w:pPr>
      <w:r w:rsidRPr="00E87471">
        <w:rPr>
          <w:rFonts w:ascii="Arial" w:hAnsi="Arial" w:cs="Arial"/>
          <w:sz w:val="20"/>
          <w:szCs w:val="20"/>
        </w:rPr>
        <w:t>Počet akcionárov:</w:t>
      </w:r>
      <w:r w:rsidRPr="00E87471">
        <w:rPr>
          <w:rFonts w:ascii="Arial" w:hAnsi="Arial" w:cs="Arial"/>
          <w:sz w:val="20"/>
          <w:szCs w:val="20"/>
        </w:rPr>
        <w:tab/>
      </w:r>
      <w:r w:rsidRPr="00E87471">
        <w:rPr>
          <w:rFonts w:ascii="Arial" w:hAnsi="Arial" w:cs="Arial"/>
          <w:sz w:val="20"/>
          <w:szCs w:val="20"/>
        </w:rPr>
        <w:tab/>
      </w:r>
      <w:r w:rsidRPr="00E87471">
        <w:rPr>
          <w:rFonts w:ascii="Arial" w:hAnsi="Arial" w:cs="Arial"/>
          <w:sz w:val="20"/>
          <w:szCs w:val="20"/>
        </w:rPr>
        <w:tab/>
      </w:r>
      <w:r w:rsidRPr="00E87471">
        <w:rPr>
          <w:rFonts w:ascii="Arial" w:hAnsi="Arial" w:cs="Arial"/>
          <w:sz w:val="20"/>
          <w:szCs w:val="20"/>
        </w:rPr>
        <w:tab/>
        <w:t xml:space="preserve"> </w:t>
      </w:r>
      <w:r w:rsidR="000A75BD" w:rsidRPr="00E87471">
        <w:rPr>
          <w:rFonts w:ascii="Arial" w:hAnsi="Arial" w:cs="Arial"/>
          <w:sz w:val="20"/>
          <w:szCs w:val="20"/>
        </w:rPr>
        <w:t>6</w:t>
      </w:r>
      <w:r w:rsidRPr="00E87471">
        <w:rPr>
          <w:rFonts w:ascii="Arial" w:hAnsi="Arial" w:cs="Arial"/>
          <w:sz w:val="20"/>
          <w:szCs w:val="20"/>
        </w:rPr>
        <w:t> </w:t>
      </w:r>
      <w:r w:rsidR="005B5A40">
        <w:rPr>
          <w:rFonts w:ascii="Arial" w:hAnsi="Arial" w:cs="Arial"/>
          <w:sz w:val="20"/>
          <w:szCs w:val="20"/>
        </w:rPr>
        <w:t>761</w:t>
      </w:r>
    </w:p>
    <w:p w14:paraId="248DF57C" w14:textId="479AE121" w:rsidR="00C60CC2" w:rsidRPr="00E87471" w:rsidRDefault="00C60CC2" w:rsidP="00F33F13">
      <w:pPr>
        <w:pStyle w:val="ListParagraph"/>
        <w:numPr>
          <w:ilvl w:val="0"/>
          <w:numId w:val="4"/>
        </w:numPr>
        <w:spacing w:after="0" w:line="240" w:lineRule="auto"/>
        <w:ind w:left="567" w:right="-426" w:hanging="709"/>
        <w:rPr>
          <w:rFonts w:ascii="Arial" w:hAnsi="Arial" w:cs="Arial"/>
          <w:sz w:val="20"/>
          <w:szCs w:val="20"/>
        </w:rPr>
      </w:pPr>
      <w:r w:rsidRPr="00E87471">
        <w:rPr>
          <w:rFonts w:ascii="Arial" w:hAnsi="Arial" w:cs="Arial"/>
          <w:sz w:val="20"/>
          <w:szCs w:val="20"/>
        </w:rPr>
        <w:t>Podiel na základnom imaní banky v %:</w:t>
      </w:r>
      <w:r w:rsidRPr="00E87471">
        <w:rPr>
          <w:rFonts w:ascii="Arial" w:hAnsi="Arial" w:cs="Arial"/>
          <w:sz w:val="20"/>
          <w:szCs w:val="20"/>
        </w:rPr>
        <w:tab/>
        <w:t xml:space="preserve"> </w:t>
      </w:r>
      <w:r w:rsidRPr="00E87471">
        <w:rPr>
          <w:rFonts w:ascii="Arial" w:hAnsi="Arial" w:cs="Arial"/>
          <w:sz w:val="20"/>
          <w:szCs w:val="20"/>
        </w:rPr>
        <w:tab/>
        <w:t xml:space="preserve">   0,</w:t>
      </w:r>
      <w:r w:rsidR="005B5A40">
        <w:rPr>
          <w:rFonts w:ascii="Arial" w:hAnsi="Arial" w:cs="Arial"/>
          <w:sz w:val="20"/>
          <w:szCs w:val="20"/>
        </w:rPr>
        <w:t>37</w:t>
      </w:r>
    </w:p>
    <w:p w14:paraId="750F4F37" w14:textId="1D011AE8" w:rsidR="00C60CC2" w:rsidRPr="00E87471" w:rsidRDefault="00C60CC2" w:rsidP="00C60CC2">
      <w:pPr>
        <w:pStyle w:val="ListParagraph"/>
        <w:numPr>
          <w:ilvl w:val="0"/>
          <w:numId w:val="4"/>
        </w:numPr>
        <w:spacing w:line="240" w:lineRule="auto"/>
        <w:ind w:left="567" w:right="-426" w:hanging="709"/>
        <w:rPr>
          <w:rFonts w:ascii="Arial" w:hAnsi="Arial" w:cs="Arial"/>
          <w:sz w:val="20"/>
          <w:szCs w:val="20"/>
        </w:rPr>
      </w:pPr>
      <w:r w:rsidRPr="00E87471">
        <w:rPr>
          <w:rFonts w:ascii="Arial" w:hAnsi="Arial" w:cs="Arial"/>
          <w:sz w:val="20"/>
          <w:szCs w:val="20"/>
        </w:rPr>
        <w:t>Podiel na hlasovacích právach v banke v %:</w:t>
      </w:r>
      <w:r w:rsidRPr="00E87471">
        <w:rPr>
          <w:rFonts w:ascii="Arial" w:hAnsi="Arial" w:cs="Arial"/>
          <w:sz w:val="20"/>
          <w:szCs w:val="20"/>
        </w:rPr>
        <w:tab/>
        <w:t xml:space="preserve">   0,</w:t>
      </w:r>
      <w:r w:rsidR="005B5A40">
        <w:rPr>
          <w:rFonts w:ascii="Arial" w:hAnsi="Arial" w:cs="Arial"/>
          <w:sz w:val="20"/>
          <w:szCs w:val="20"/>
        </w:rPr>
        <w:t>37</w:t>
      </w:r>
    </w:p>
    <w:p w14:paraId="7BAB5407" w14:textId="1C7A4B4B" w:rsidR="00B6512E" w:rsidRPr="00B13FC6" w:rsidRDefault="00B6512E" w:rsidP="006B6546">
      <w:pPr>
        <w:spacing w:line="240" w:lineRule="auto"/>
        <w:ind w:right="-426"/>
        <w:rPr>
          <w:rFonts w:ascii="Arial" w:hAnsi="Arial" w:cs="Arial"/>
          <w:sz w:val="20"/>
          <w:szCs w:val="20"/>
        </w:rPr>
      </w:pPr>
    </w:p>
    <w:p w14:paraId="7A89EB6D" w14:textId="77777777" w:rsidR="00C60CC2" w:rsidRPr="00B13FC6" w:rsidRDefault="00C60CC2" w:rsidP="00C60CC2">
      <w:pPr>
        <w:pStyle w:val="ListParagraph"/>
        <w:spacing w:line="240" w:lineRule="auto"/>
        <w:ind w:left="0" w:right="-426" w:firstLine="284"/>
        <w:rPr>
          <w:rFonts w:ascii="Arial" w:hAnsi="Arial" w:cs="Arial"/>
          <w:b/>
          <w:sz w:val="26"/>
          <w:szCs w:val="26"/>
        </w:rPr>
      </w:pPr>
      <w:r w:rsidRPr="00880AF7">
        <w:rPr>
          <w:rFonts w:ascii="Arial" w:hAnsi="Arial" w:cs="Arial"/>
          <w:b/>
          <w:sz w:val="26"/>
          <w:szCs w:val="26"/>
        </w:rPr>
        <w:t>§ 1 ods. (7) Informácie o štruktúre konsolidovaného celku banky, ktorého je banka súčasťou</w:t>
      </w:r>
    </w:p>
    <w:p w14:paraId="1819B0AF" w14:textId="77777777" w:rsidR="00C60CC2" w:rsidRPr="00B13FC6" w:rsidRDefault="00C60CC2" w:rsidP="00C60CC2">
      <w:pPr>
        <w:pStyle w:val="ListParagraph"/>
        <w:spacing w:line="240" w:lineRule="auto"/>
        <w:ind w:left="567" w:right="-426"/>
        <w:rPr>
          <w:rFonts w:ascii="Arial" w:hAnsi="Arial" w:cs="Arial"/>
          <w:b/>
          <w:sz w:val="26"/>
          <w:szCs w:val="26"/>
        </w:rPr>
      </w:pPr>
    </w:p>
    <w:p w14:paraId="679F9774" w14:textId="77777777" w:rsidR="00F33F13" w:rsidRPr="00B13FC6" w:rsidRDefault="00F33F13" w:rsidP="00F33F13">
      <w:pPr>
        <w:pStyle w:val="ListParagraph"/>
        <w:framePr w:hSpace="141" w:wrap="around" w:vAnchor="page" w:hAnchor="page" w:x="1420" w:y="10666"/>
        <w:spacing w:after="0"/>
        <w:ind w:left="360"/>
        <w:jc w:val="both"/>
        <w:rPr>
          <w:rFonts w:ascii="Arial" w:eastAsia="Times New Roman" w:hAnsi="Arial" w:cs="Arial"/>
          <w:b/>
          <w:bCs/>
          <w:sz w:val="20"/>
          <w:szCs w:val="20"/>
        </w:rPr>
      </w:pPr>
    </w:p>
    <w:p w14:paraId="2C9BD542" w14:textId="465FA60F" w:rsidR="0096443F" w:rsidRDefault="00C60CC2" w:rsidP="00C60CC2">
      <w:pPr>
        <w:pStyle w:val="ListParagraph"/>
        <w:numPr>
          <w:ilvl w:val="0"/>
          <w:numId w:val="16"/>
        </w:numPr>
        <w:spacing w:after="0"/>
        <w:jc w:val="both"/>
        <w:rPr>
          <w:rFonts w:ascii="Arial" w:eastAsia="Times New Roman" w:hAnsi="Arial" w:cs="Arial"/>
          <w:b/>
          <w:bCs/>
          <w:sz w:val="20"/>
          <w:szCs w:val="20"/>
        </w:rPr>
      </w:pPr>
      <w:r w:rsidRPr="00B13FC6">
        <w:rPr>
          <w:rFonts w:ascii="Arial" w:eastAsia="Times New Roman" w:hAnsi="Arial" w:cs="Arial"/>
          <w:b/>
          <w:bCs/>
          <w:sz w:val="20"/>
          <w:szCs w:val="20"/>
        </w:rPr>
        <w:t>Obchodné meno, sídlo, hlavný predmet činnosti osoby, ktorá má postavenie materskej spoločnosti a jednotlivých členom konsolidovaného celku a názov štátu, v ktorom tieto osoby prevažne pôsobia</w:t>
      </w:r>
    </w:p>
    <w:p w14:paraId="5E726DF5" w14:textId="77777777" w:rsidR="00F33F13" w:rsidRPr="00B13FC6" w:rsidRDefault="00F33F13" w:rsidP="00F33F13">
      <w:pPr>
        <w:pStyle w:val="ListParagraph"/>
        <w:spacing w:after="0"/>
        <w:ind w:left="360"/>
        <w:jc w:val="both"/>
        <w:rPr>
          <w:rFonts w:ascii="Arial" w:eastAsia="Times New Roman" w:hAnsi="Arial" w:cs="Arial"/>
          <w:b/>
          <w:bCs/>
          <w:sz w:val="20"/>
          <w:szCs w:val="20"/>
        </w:rPr>
      </w:pPr>
    </w:p>
    <w:tbl>
      <w:tblPr>
        <w:tblpPr w:leftFromText="141" w:rightFromText="141" w:vertAnchor="text" w:horzAnchor="margin" w:tblpY="45"/>
        <w:tblW w:w="915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45"/>
        <w:gridCol w:w="1278"/>
        <w:gridCol w:w="1648"/>
        <w:gridCol w:w="1412"/>
        <w:gridCol w:w="1487"/>
        <w:gridCol w:w="1286"/>
      </w:tblGrid>
      <w:tr w:rsidR="00024FF2" w:rsidRPr="00B13FC6" w14:paraId="0F618F26" w14:textId="77777777" w:rsidTr="00024FF2">
        <w:trPr>
          <w:trHeight w:val="811"/>
        </w:trPr>
        <w:tc>
          <w:tcPr>
            <w:tcW w:w="2045" w:type="dxa"/>
            <w:tcBorders>
              <w:top w:val="single" w:sz="4" w:space="0" w:color="auto"/>
              <w:bottom w:val="single" w:sz="4" w:space="0" w:color="auto"/>
            </w:tcBorders>
            <w:shd w:val="clear" w:color="auto" w:fill="auto"/>
            <w:vAlign w:val="bottom"/>
            <w:hideMark/>
          </w:tcPr>
          <w:p w14:paraId="4F33A978"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Názov a obchodné meno</w:t>
            </w:r>
          </w:p>
        </w:tc>
        <w:tc>
          <w:tcPr>
            <w:tcW w:w="1278" w:type="dxa"/>
            <w:tcBorders>
              <w:top w:val="single" w:sz="4" w:space="0" w:color="auto"/>
              <w:bottom w:val="single" w:sz="4" w:space="0" w:color="auto"/>
            </w:tcBorders>
            <w:shd w:val="clear" w:color="auto" w:fill="auto"/>
            <w:noWrap/>
            <w:vAlign w:val="bottom"/>
            <w:hideMark/>
          </w:tcPr>
          <w:p w14:paraId="0BF94F91"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 xml:space="preserve">Právna forma </w:t>
            </w:r>
          </w:p>
        </w:tc>
        <w:tc>
          <w:tcPr>
            <w:tcW w:w="1648" w:type="dxa"/>
            <w:tcBorders>
              <w:top w:val="single" w:sz="4" w:space="0" w:color="auto"/>
              <w:bottom w:val="single" w:sz="4" w:space="0" w:color="auto"/>
            </w:tcBorders>
            <w:shd w:val="clear" w:color="auto" w:fill="auto"/>
            <w:noWrap/>
            <w:vAlign w:val="bottom"/>
            <w:hideMark/>
          </w:tcPr>
          <w:p w14:paraId="766E2186"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Sídlo</w:t>
            </w:r>
          </w:p>
        </w:tc>
        <w:tc>
          <w:tcPr>
            <w:tcW w:w="1412" w:type="dxa"/>
            <w:tcBorders>
              <w:top w:val="single" w:sz="4" w:space="0" w:color="auto"/>
              <w:bottom w:val="single" w:sz="4" w:space="0" w:color="auto"/>
            </w:tcBorders>
            <w:shd w:val="clear" w:color="auto" w:fill="auto"/>
            <w:noWrap/>
            <w:vAlign w:val="bottom"/>
            <w:hideMark/>
          </w:tcPr>
          <w:p w14:paraId="7A090631"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IČO</w:t>
            </w:r>
          </w:p>
        </w:tc>
        <w:tc>
          <w:tcPr>
            <w:tcW w:w="1487" w:type="dxa"/>
            <w:tcBorders>
              <w:top w:val="single" w:sz="4" w:space="0" w:color="auto"/>
              <w:bottom w:val="single" w:sz="4" w:space="0" w:color="auto"/>
            </w:tcBorders>
            <w:shd w:val="clear" w:color="auto" w:fill="auto"/>
            <w:vAlign w:val="bottom"/>
            <w:hideMark/>
          </w:tcPr>
          <w:p w14:paraId="473F7106"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Hlavný predmet činnosti</w:t>
            </w:r>
          </w:p>
        </w:tc>
        <w:tc>
          <w:tcPr>
            <w:tcW w:w="1286" w:type="dxa"/>
            <w:tcBorders>
              <w:top w:val="single" w:sz="4" w:space="0" w:color="auto"/>
              <w:bottom w:val="single" w:sz="4" w:space="0" w:color="auto"/>
            </w:tcBorders>
            <w:shd w:val="clear" w:color="auto" w:fill="auto"/>
            <w:vAlign w:val="bottom"/>
            <w:hideMark/>
          </w:tcPr>
          <w:p w14:paraId="67DFCA52"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Názov štátu pôsobenia</w:t>
            </w:r>
          </w:p>
        </w:tc>
      </w:tr>
      <w:tr w:rsidR="00024FF2" w:rsidRPr="00B13FC6" w14:paraId="0EBFEC0E" w14:textId="77777777" w:rsidTr="00024FF2">
        <w:trPr>
          <w:trHeight w:val="811"/>
        </w:trPr>
        <w:tc>
          <w:tcPr>
            <w:tcW w:w="2045" w:type="dxa"/>
            <w:tcBorders>
              <w:top w:val="single" w:sz="4" w:space="0" w:color="auto"/>
            </w:tcBorders>
            <w:shd w:val="clear" w:color="auto" w:fill="auto"/>
            <w:noWrap/>
            <w:vAlign w:val="bottom"/>
            <w:hideMark/>
          </w:tcPr>
          <w:p w14:paraId="2CBD52BD" w14:textId="0C67189B" w:rsidR="00024FF2" w:rsidRPr="00B13FC6" w:rsidRDefault="00C27990" w:rsidP="00024FF2">
            <w:pPr>
              <w:spacing w:after="0" w:line="240" w:lineRule="auto"/>
              <w:rPr>
                <w:rFonts w:ascii="Arial" w:eastAsia="Times New Roman" w:hAnsi="Arial" w:cs="Arial"/>
                <w:sz w:val="20"/>
                <w:szCs w:val="20"/>
              </w:rPr>
            </w:pPr>
            <w:r w:rsidRPr="00C27990">
              <w:rPr>
                <w:rFonts w:ascii="Arial" w:eastAsia="Times New Roman" w:hAnsi="Arial" w:cs="Arial"/>
                <w:sz w:val="20"/>
                <w:szCs w:val="20"/>
              </w:rPr>
              <w:t>KBC Bank N.V.</w:t>
            </w:r>
          </w:p>
        </w:tc>
        <w:tc>
          <w:tcPr>
            <w:tcW w:w="1278" w:type="dxa"/>
            <w:tcBorders>
              <w:top w:val="single" w:sz="4" w:space="0" w:color="auto"/>
            </w:tcBorders>
            <w:shd w:val="clear" w:color="auto" w:fill="auto"/>
            <w:vAlign w:val="bottom"/>
            <w:hideMark/>
          </w:tcPr>
          <w:p w14:paraId="761BDD65" w14:textId="77777777" w:rsidR="00024FF2" w:rsidRPr="00B13FC6" w:rsidRDefault="00024FF2" w:rsidP="00024FF2">
            <w:pPr>
              <w:spacing w:after="0" w:line="240" w:lineRule="auto"/>
              <w:rPr>
                <w:rFonts w:ascii="Arial" w:eastAsia="Times New Roman" w:hAnsi="Arial" w:cs="Arial"/>
                <w:sz w:val="20"/>
                <w:szCs w:val="20"/>
              </w:rPr>
            </w:pPr>
            <w:r w:rsidRPr="00B13FC6">
              <w:rPr>
                <w:rFonts w:ascii="Arial" w:eastAsia="Times New Roman" w:hAnsi="Arial" w:cs="Arial"/>
                <w:sz w:val="20"/>
                <w:szCs w:val="20"/>
              </w:rPr>
              <w:t>akciová spoločnosť</w:t>
            </w:r>
          </w:p>
        </w:tc>
        <w:tc>
          <w:tcPr>
            <w:tcW w:w="1648" w:type="dxa"/>
            <w:tcBorders>
              <w:top w:val="single" w:sz="4" w:space="0" w:color="auto"/>
            </w:tcBorders>
            <w:shd w:val="clear" w:color="auto" w:fill="auto"/>
            <w:vAlign w:val="bottom"/>
            <w:hideMark/>
          </w:tcPr>
          <w:p w14:paraId="2B2729F4" w14:textId="290438CB" w:rsidR="00C27990" w:rsidRPr="00C27990" w:rsidRDefault="00C27990" w:rsidP="00C27990">
            <w:pPr>
              <w:spacing w:after="0" w:line="240" w:lineRule="auto"/>
              <w:rPr>
                <w:rFonts w:ascii="Arial" w:eastAsia="Times New Roman" w:hAnsi="Arial" w:cs="Arial"/>
                <w:sz w:val="20"/>
                <w:szCs w:val="20"/>
              </w:rPr>
            </w:pPr>
            <w:proofErr w:type="spellStart"/>
            <w:r w:rsidRPr="00C27990">
              <w:rPr>
                <w:rFonts w:ascii="Arial" w:eastAsia="Times New Roman" w:hAnsi="Arial" w:cs="Arial"/>
                <w:sz w:val="20"/>
                <w:szCs w:val="20"/>
              </w:rPr>
              <w:t>Havenlaan</w:t>
            </w:r>
            <w:proofErr w:type="spellEnd"/>
            <w:r w:rsidRPr="00C27990">
              <w:rPr>
                <w:rFonts w:ascii="Arial" w:eastAsia="Times New Roman" w:hAnsi="Arial" w:cs="Arial"/>
                <w:sz w:val="20"/>
                <w:szCs w:val="20"/>
              </w:rPr>
              <w:t xml:space="preserve"> 2</w:t>
            </w:r>
            <w:r w:rsidR="00FE62A6">
              <w:rPr>
                <w:rFonts w:ascii="Arial" w:eastAsia="Times New Roman" w:hAnsi="Arial" w:cs="Arial"/>
                <w:sz w:val="20"/>
                <w:szCs w:val="20"/>
              </w:rPr>
              <w:t>, 1080</w:t>
            </w:r>
          </w:p>
          <w:p w14:paraId="18813A21" w14:textId="77777777" w:rsidR="00C27990" w:rsidRPr="00C27990"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Brusel</w:t>
            </w:r>
          </w:p>
          <w:p w14:paraId="2609697F" w14:textId="309FB837" w:rsidR="00024FF2" w:rsidRPr="00B13FC6"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Belgicko</w:t>
            </w:r>
          </w:p>
        </w:tc>
        <w:tc>
          <w:tcPr>
            <w:tcW w:w="1412" w:type="dxa"/>
            <w:tcBorders>
              <w:top w:val="single" w:sz="4" w:space="0" w:color="auto"/>
            </w:tcBorders>
            <w:shd w:val="clear" w:color="auto" w:fill="auto"/>
            <w:noWrap/>
            <w:vAlign w:val="bottom"/>
            <w:hideMark/>
          </w:tcPr>
          <w:p w14:paraId="52210613" w14:textId="4AE74A52" w:rsidR="00024FF2" w:rsidRPr="00B13FC6" w:rsidRDefault="00C27990" w:rsidP="00024FF2">
            <w:pPr>
              <w:spacing w:after="0" w:line="240" w:lineRule="auto"/>
              <w:jc w:val="center"/>
              <w:rPr>
                <w:rFonts w:ascii="Arial" w:eastAsia="Times New Roman" w:hAnsi="Arial" w:cs="Arial"/>
                <w:sz w:val="20"/>
                <w:szCs w:val="20"/>
              </w:rPr>
            </w:pPr>
            <w:r w:rsidRPr="00C27990">
              <w:rPr>
                <w:rFonts w:ascii="Arial" w:eastAsia="Times New Roman" w:hAnsi="Arial" w:cs="Arial"/>
                <w:sz w:val="20"/>
                <w:szCs w:val="20"/>
              </w:rPr>
              <w:t>0462.920.226</w:t>
            </w:r>
          </w:p>
        </w:tc>
        <w:tc>
          <w:tcPr>
            <w:tcW w:w="1487" w:type="dxa"/>
            <w:tcBorders>
              <w:top w:val="single" w:sz="4" w:space="0" w:color="auto"/>
            </w:tcBorders>
            <w:shd w:val="clear" w:color="auto" w:fill="auto"/>
            <w:noWrap/>
            <w:vAlign w:val="bottom"/>
            <w:hideMark/>
          </w:tcPr>
          <w:p w14:paraId="57F2F80B" w14:textId="77777777" w:rsidR="00024FF2" w:rsidRPr="00B13FC6" w:rsidRDefault="00024FF2" w:rsidP="00024FF2">
            <w:pPr>
              <w:spacing w:after="0" w:line="240" w:lineRule="auto"/>
              <w:rPr>
                <w:rFonts w:ascii="Arial" w:eastAsia="Times New Roman" w:hAnsi="Arial" w:cs="Arial"/>
                <w:sz w:val="20"/>
                <w:szCs w:val="20"/>
              </w:rPr>
            </w:pPr>
            <w:r w:rsidRPr="00B13FC6">
              <w:rPr>
                <w:rFonts w:ascii="Arial" w:eastAsia="Times New Roman" w:hAnsi="Arial" w:cs="Arial"/>
                <w:sz w:val="20"/>
                <w:szCs w:val="20"/>
              </w:rPr>
              <w:t>bankovníctvo</w:t>
            </w:r>
          </w:p>
        </w:tc>
        <w:tc>
          <w:tcPr>
            <w:tcW w:w="1286" w:type="dxa"/>
            <w:tcBorders>
              <w:top w:val="single" w:sz="4" w:space="0" w:color="auto"/>
            </w:tcBorders>
            <w:shd w:val="clear" w:color="auto" w:fill="auto"/>
            <w:noWrap/>
            <w:vAlign w:val="bottom"/>
            <w:hideMark/>
          </w:tcPr>
          <w:p w14:paraId="1F22A27A" w14:textId="3780DC51" w:rsidR="00024FF2" w:rsidRPr="00B13FC6" w:rsidRDefault="00C27990" w:rsidP="00024FF2">
            <w:pPr>
              <w:spacing w:after="0" w:line="240" w:lineRule="auto"/>
              <w:rPr>
                <w:rFonts w:ascii="Arial" w:eastAsia="Times New Roman" w:hAnsi="Arial" w:cs="Arial"/>
                <w:sz w:val="20"/>
                <w:szCs w:val="20"/>
              </w:rPr>
            </w:pPr>
            <w:r>
              <w:rPr>
                <w:rFonts w:ascii="Arial" w:eastAsia="Times New Roman" w:hAnsi="Arial" w:cs="Arial"/>
                <w:sz w:val="20"/>
                <w:szCs w:val="20"/>
              </w:rPr>
              <w:t>Belgicko</w:t>
            </w:r>
          </w:p>
        </w:tc>
      </w:tr>
    </w:tbl>
    <w:p w14:paraId="4D9BADD0" w14:textId="77777777" w:rsidR="00C60CC2" w:rsidRPr="00B13FC6" w:rsidRDefault="00C60CC2" w:rsidP="00C60CC2">
      <w:pPr>
        <w:pStyle w:val="ListParagraph"/>
        <w:spacing w:after="0"/>
        <w:ind w:left="360"/>
        <w:jc w:val="both"/>
        <w:rPr>
          <w:rFonts w:ascii="Arial" w:eastAsia="Times New Roman" w:hAnsi="Arial" w:cs="Arial"/>
          <w:b/>
          <w:bCs/>
          <w:sz w:val="20"/>
          <w:szCs w:val="20"/>
        </w:rPr>
      </w:pPr>
    </w:p>
    <w:p w14:paraId="6867F10E" w14:textId="3DD8EFD7" w:rsidR="00C60CC2" w:rsidRPr="00B13FC6" w:rsidRDefault="00C60CC2" w:rsidP="00C60CC2">
      <w:pPr>
        <w:pStyle w:val="ListParagraph"/>
        <w:spacing w:after="0"/>
        <w:ind w:left="360"/>
        <w:jc w:val="both"/>
        <w:rPr>
          <w:rFonts w:ascii="Arial" w:eastAsia="Times New Roman" w:hAnsi="Arial" w:cs="Arial"/>
          <w:b/>
          <w:bCs/>
          <w:sz w:val="20"/>
          <w:szCs w:val="20"/>
        </w:rPr>
      </w:pPr>
    </w:p>
    <w:p w14:paraId="58DEFE32" w14:textId="77777777" w:rsidR="002C57C8" w:rsidRPr="00B13FC6" w:rsidRDefault="002C57C8" w:rsidP="002C57C8">
      <w:pPr>
        <w:framePr w:hSpace="141" w:wrap="around" w:vAnchor="page" w:hAnchor="page" w:x="1345" w:y="13666"/>
        <w:spacing w:after="0"/>
        <w:jc w:val="both"/>
        <w:rPr>
          <w:rFonts w:ascii="Arial" w:eastAsia="Times New Roman" w:hAnsi="Arial" w:cs="Arial"/>
          <w:b/>
          <w:bCs/>
          <w:sz w:val="20"/>
          <w:szCs w:val="20"/>
        </w:rPr>
      </w:pPr>
      <w:r w:rsidRPr="00880AF7">
        <w:rPr>
          <w:rFonts w:ascii="Arial" w:eastAsia="Times New Roman" w:hAnsi="Arial" w:cs="Arial"/>
          <w:b/>
          <w:bCs/>
          <w:sz w:val="20"/>
          <w:szCs w:val="20"/>
        </w:rPr>
        <w:t>b)–c) Schéma konsolidovaného celku a podiel banky na základnom imaní a podiel banky na hlasovacích právach jednotlivých členov konsolidovaného celku, na ktorého čele sa banka nachádza.</w:t>
      </w:r>
    </w:p>
    <w:p w14:paraId="2F3C0D69" w14:textId="77777777" w:rsidR="000A75BD" w:rsidRPr="00B13FC6" w:rsidRDefault="000A75BD" w:rsidP="00C60CC2">
      <w:pPr>
        <w:spacing w:line="240" w:lineRule="auto"/>
        <w:ind w:right="-426"/>
        <w:jc w:val="center"/>
        <w:rPr>
          <w:rFonts w:ascii="Arial" w:hAnsi="Arial" w:cs="Arial"/>
          <w:sz w:val="26"/>
          <w:szCs w:val="26"/>
        </w:rPr>
      </w:pPr>
    </w:p>
    <w:tbl>
      <w:tblPr>
        <w:tblpPr w:leftFromText="141" w:rightFromText="141" w:vertAnchor="page" w:horzAnchor="margin" w:tblpXSpec="center" w:tblpY="1501"/>
        <w:tblW w:w="4160" w:type="dxa"/>
        <w:tblCellMar>
          <w:left w:w="70" w:type="dxa"/>
          <w:right w:w="70" w:type="dxa"/>
        </w:tblCellMar>
        <w:tblLook w:val="04A0" w:firstRow="1" w:lastRow="0" w:firstColumn="1" w:lastColumn="0" w:noHBand="0" w:noVBand="1"/>
      </w:tblPr>
      <w:tblGrid>
        <w:gridCol w:w="640"/>
        <w:gridCol w:w="1440"/>
        <w:gridCol w:w="1440"/>
        <w:gridCol w:w="640"/>
      </w:tblGrid>
      <w:tr w:rsidR="00024FF2" w:rsidRPr="00B13FC6" w14:paraId="088A1BB3" w14:textId="77777777" w:rsidTr="00024FF2">
        <w:trPr>
          <w:trHeight w:val="450"/>
        </w:trPr>
        <w:tc>
          <w:tcPr>
            <w:tcW w:w="4160"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3D91417D" w14:textId="330A1232" w:rsidR="00024FF2" w:rsidRPr="00B13FC6" w:rsidRDefault="00C27990" w:rsidP="00024FF2">
            <w:pPr>
              <w:spacing w:after="0" w:line="240" w:lineRule="auto"/>
              <w:jc w:val="center"/>
              <w:rPr>
                <w:rFonts w:ascii="Times New Roman" w:eastAsia="Times New Roman" w:hAnsi="Times New Roman" w:cs="Times New Roman"/>
                <w:b/>
                <w:bCs/>
              </w:rPr>
            </w:pPr>
            <w:r w:rsidRPr="00C27990">
              <w:rPr>
                <w:rFonts w:ascii="Times New Roman" w:eastAsia="Times New Roman" w:hAnsi="Times New Roman" w:cs="Times New Roman"/>
                <w:b/>
                <w:bCs/>
              </w:rPr>
              <w:t>KBC Bank, N.V.</w:t>
            </w:r>
            <w:r w:rsidR="005B5A40">
              <w:rPr>
                <w:rFonts w:ascii="Times New Roman" w:eastAsia="Times New Roman" w:hAnsi="Times New Roman" w:cs="Times New Roman"/>
                <w:b/>
                <w:bCs/>
              </w:rPr>
              <w:br/>
              <w:t>99,63% podiel na ZI a 99,63</w:t>
            </w:r>
            <w:r w:rsidR="00024FF2" w:rsidRPr="00B13FC6">
              <w:rPr>
                <w:rFonts w:ascii="Times New Roman" w:eastAsia="Times New Roman" w:hAnsi="Times New Roman" w:cs="Times New Roman"/>
                <w:b/>
                <w:bCs/>
              </w:rPr>
              <w:t>% na HP</w:t>
            </w:r>
          </w:p>
        </w:tc>
      </w:tr>
      <w:tr w:rsidR="00024FF2" w:rsidRPr="00B13FC6" w14:paraId="2664C009"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355559DA" w14:textId="77777777" w:rsidR="00024FF2" w:rsidRPr="00B13FC6" w:rsidRDefault="00024FF2" w:rsidP="00024FF2">
            <w:pPr>
              <w:spacing w:after="0" w:line="240" w:lineRule="auto"/>
              <w:rPr>
                <w:rFonts w:ascii="Times New Roman" w:eastAsia="Times New Roman" w:hAnsi="Times New Roman" w:cs="Times New Roman"/>
                <w:b/>
                <w:bCs/>
              </w:rPr>
            </w:pPr>
          </w:p>
        </w:tc>
      </w:tr>
      <w:tr w:rsidR="00024FF2" w:rsidRPr="00B13FC6" w14:paraId="5041DAE1"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0227E9D2" w14:textId="77777777" w:rsidR="00024FF2" w:rsidRPr="00B13FC6" w:rsidRDefault="00024FF2" w:rsidP="00024FF2">
            <w:pPr>
              <w:spacing w:after="0" w:line="240" w:lineRule="auto"/>
              <w:rPr>
                <w:rFonts w:ascii="Times New Roman" w:eastAsia="Times New Roman" w:hAnsi="Times New Roman" w:cs="Times New Roman"/>
                <w:b/>
                <w:bCs/>
              </w:rPr>
            </w:pPr>
          </w:p>
        </w:tc>
      </w:tr>
      <w:tr w:rsidR="00024FF2" w:rsidRPr="00B13FC6" w14:paraId="2E001902"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0976CF6C" w14:textId="77777777" w:rsidR="00024FF2" w:rsidRPr="00B13FC6" w:rsidRDefault="00024FF2" w:rsidP="00024FF2">
            <w:pPr>
              <w:spacing w:after="0" w:line="240" w:lineRule="auto"/>
              <w:rPr>
                <w:rFonts w:ascii="Times New Roman" w:eastAsia="Times New Roman" w:hAnsi="Times New Roman" w:cs="Times New Roman"/>
                <w:b/>
                <w:bCs/>
              </w:rPr>
            </w:pPr>
          </w:p>
        </w:tc>
      </w:tr>
      <w:tr w:rsidR="00024FF2" w:rsidRPr="00B13FC6" w14:paraId="6CA93661" w14:textId="77777777" w:rsidTr="00024FF2">
        <w:trPr>
          <w:trHeight w:val="255"/>
        </w:trPr>
        <w:tc>
          <w:tcPr>
            <w:tcW w:w="640" w:type="dxa"/>
            <w:tcBorders>
              <w:top w:val="nil"/>
              <w:left w:val="nil"/>
              <w:bottom w:val="nil"/>
              <w:right w:val="nil"/>
            </w:tcBorders>
            <w:shd w:val="clear" w:color="auto" w:fill="auto"/>
            <w:noWrap/>
            <w:vAlign w:val="bottom"/>
            <w:hideMark/>
          </w:tcPr>
          <w:p w14:paraId="54CC3319" w14:textId="77777777" w:rsidR="00024FF2" w:rsidRPr="00B13FC6" w:rsidRDefault="00024FF2" w:rsidP="00024FF2">
            <w:pPr>
              <w:spacing w:after="0" w:line="240" w:lineRule="auto"/>
              <w:rPr>
                <w:rFonts w:ascii="Arial" w:eastAsia="Times New Roman" w:hAnsi="Arial" w:cs="Arial"/>
                <w:sz w:val="18"/>
                <w:szCs w:val="18"/>
              </w:rPr>
            </w:pPr>
          </w:p>
        </w:tc>
        <w:tc>
          <w:tcPr>
            <w:tcW w:w="1440" w:type="dxa"/>
            <w:tcBorders>
              <w:top w:val="nil"/>
              <w:left w:val="nil"/>
              <w:bottom w:val="nil"/>
              <w:right w:val="single" w:sz="4" w:space="0" w:color="D9D9D9"/>
            </w:tcBorders>
            <w:shd w:val="clear" w:color="auto" w:fill="auto"/>
            <w:noWrap/>
            <w:vAlign w:val="bottom"/>
            <w:hideMark/>
          </w:tcPr>
          <w:p w14:paraId="38D129F6" w14:textId="77777777" w:rsidR="00024FF2" w:rsidRPr="00B13FC6" w:rsidRDefault="00024FF2" w:rsidP="00024FF2">
            <w:pPr>
              <w:spacing w:after="0" w:line="240" w:lineRule="auto"/>
              <w:rPr>
                <w:rFonts w:ascii="Arial" w:eastAsia="Times New Roman" w:hAnsi="Arial" w:cs="Arial"/>
                <w:sz w:val="18"/>
                <w:szCs w:val="18"/>
              </w:rPr>
            </w:pPr>
            <w:r w:rsidRPr="00B13FC6">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4B43A114" w14:textId="77777777" w:rsidR="00024FF2" w:rsidRPr="00B13FC6" w:rsidRDefault="00024FF2" w:rsidP="00024FF2">
            <w:pPr>
              <w:spacing w:after="0" w:line="240" w:lineRule="auto"/>
              <w:rPr>
                <w:rFonts w:ascii="Arial" w:eastAsia="Times New Roman" w:hAnsi="Arial" w:cs="Arial"/>
                <w:sz w:val="18"/>
                <w:szCs w:val="18"/>
              </w:rPr>
            </w:pPr>
            <w:r w:rsidRPr="00B13FC6">
              <w:rPr>
                <w:rFonts w:ascii="Arial" w:eastAsia="Times New Roman" w:hAnsi="Arial" w:cs="Arial"/>
                <w:noProof/>
                <w:sz w:val="18"/>
                <w:szCs w:val="18"/>
              </w:rPr>
              <mc:AlternateContent>
                <mc:Choice Requires="wps">
                  <w:drawing>
                    <wp:anchor distT="0" distB="0" distL="114300" distR="114300" simplePos="0" relativeHeight="251659264" behindDoc="0" locked="0" layoutInCell="1" allowOverlap="1" wp14:anchorId="25E204CD" wp14:editId="6ADF00B1">
                      <wp:simplePos x="0" y="0"/>
                      <wp:positionH relativeFrom="column">
                        <wp:posOffset>-40035</wp:posOffset>
                      </wp:positionH>
                      <wp:positionV relativeFrom="paragraph">
                        <wp:posOffset>10765</wp:posOffset>
                      </wp:positionV>
                      <wp:extent cx="0" cy="467833"/>
                      <wp:effectExtent l="9525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467833"/>
                              </a:xfrm>
                              <a:prstGeom prst="straightConnector1">
                                <a:avLst/>
                              </a:prstGeom>
                              <a:ln w="19050">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158B70" id="_x0000_t32" coordsize="21600,21600" o:spt="32" o:oned="t" path="m,l21600,21600e" filled="f">
                      <v:path arrowok="t" fillok="f" o:connecttype="none"/>
                      <o:lock v:ext="edit" shapetype="t"/>
                    </v:shapetype>
                    <v:shape id="Straight Arrow Connector 18" o:spid="_x0000_s1026" type="#_x0000_t32" style="position:absolute;margin-left:-3.15pt;margin-top:.85pt;width:0;height:36.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" strokecolor="black [3213]" strokeweight="1.5pt">
                      <v:stroke endarrow="block" endarrowwidth="wide" joinstyle="miter"/>
                    </v:shape>
                  </w:pict>
                </mc:Fallback>
              </mc:AlternateContent>
            </w:r>
            <w:r w:rsidRPr="00B13FC6">
              <w:rPr>
                <w:rFonts w:ascii="Arial" w:eastAsia="Times New Roman" w:hAnsi="Arial" w:cs="Arial"/>
                <w:sz w:val="18"/>
                <w:szCs w:val="18"/>
              </w:rPr>
              <w:t> </w:t>
            </w:r>
          </w:p>
        </w:tc>
        <w:tc>
          <w:tcPr>
            <w:tcW w:w="640" w:type="dxa"/>
            <w:tcBorders>
              <w:top w:val="nil"/>
              <w:left w:val="nil"/>
              <w:bottom w:val="nil"/>
              <w:right w:val="nil"/>
            </w:tcBorders>
            <w:shd w:val="clear" w:color="auto" w:fill="auto"/>
            <w:noWrap/>
            <w:vAlign w:val="bottom"/>
            <w:hideMark/>
          </w:tcPr>
          <w:p w14:paraId="7C874684" w14:textId="77777777" w:rsidR="00024FF2" w:rsidRPr="00B13FC6" w:rsidRDefault="00024FF2" w:rsidP="00024FF2">
            <w:pPr>
              <w:spacing w:after="0" w:line="240" w:lineRule="auto"/>
              <w:rPr>
                <w:rFonts w:ascii="Arial" w:eastAsia="Times New Roman" w:hAnsi="Arial" w:cs="Arial"/>
                <w:sz w:val="18"/>
                <w:szCs w:val="18"/>
              </w:rPr>
            </w:pPr>
          </w:p>
        </w:tc>
      </w:tr>
      <w:tr w:rsidR="00024FF2" w:rsidRPr="00B13FC6" w14:paraId="1AB93FB3" w14:textId="77777777" w:rsidTr="00024FF2">
        <w:trPr>
          <w:trHeight w:val="240"/>
        </w:trPr>
        <w:tc>
          <w:tcPr>
            <w:tcW w:w="640" w:type="dxa"/>
            <w:tcBorders>
              <w:top w:val="nil"/>
              <w:left w:val="nil"/>
              <w:bottom w:val="nil"/>
              <w:right w:val="nil"/>
            </w:tcBorders>
            <w:shd w:val="clear" w:color="auto" w:fill="auto"/>
            <w:noWrap/>
            <w:vAlign w:val="bottom"/>
            <w:hideMark/>
          </w:tcPr>
          <w:p w14:paraId="32980DF7" w14:textId="77777777" w:rsidR="00024FF2" w:rsidRPr="00B13FC6" w:rsidRDefault="00024FF2" w:rsidP="00024FF2">
            <w:pPr>
              <w:spacing w:after="0" w:line="240" w:lineRule="auto"/>
              <w:rPr>
                <w:rFonts w:ascii="Arial" w:eastAsia="Times New Roman" w:hAnsi="Arial" w:cs="Arial"/>
                <w:sz w:val="18"/>
                <w:szCs w:val="18"/>
              </w:rPr>
            </w:pPr>
          </w:p>
        </w:tc>
        <w:tc>
          <w:tcPr>
            <w:tcW w:w="1440" w:type="dxa"/>
            <w:tcBorders>
              <w:top w:val="nil"/>
              <w:left w:val="nil"/>
              <w:bottom w:val="nil"/>
              <w:right w:val="nil"/>
            </w:tcBorders>
            <w:shd w:val="clear" w:color="auto" w:fill="auto"/>
            <w:noWrap/>
            <w:vAlign w:val="bottom"/>
            <w:hideMark/>
          </w:tcPr>
          <w:p w14:paraId="0E5C97C6" w14:textId="77777777" w:rsidR="00024FF2" w:rsidRPr="00B13FC6" w:rsidRDefault="00024FF2" w:rsidP="00024FF2">
            <w:pPr>
              <w:spacing w:after="0" w:line="240" w:lineRule="auto"/>
              <w:rPr>
                <w:rFonts w:ascii="Arial" w:eastAsia="Times New Roman" w:hAnsi="Arial" w:cs="Arial"/>
                <w:sz w:val="18"/>
                <w:szCs w:val="18"/>
              </w:rPr>
            </w:pPr>
          </w:p>
        </w:tc>
        <w:tc>
          <w:tcPr>
            <w:tcW w:w="1440" w:type="dxa"/>
            <w:tcBorders>
              <w:top w:val="nil"/>
              <w:left w:val="nil"/>
              <w:bottom w:val="nil"/>
              <w:right w:val="nil"/>
            </w:tcBorders>
            <w:shd w:val="clear" w:color="auto" w:fill="auto"/>
            <w:noWrap/>
            <w:vAlign w:val="bottom"/>
            <w:hideMark/>
          </w:tcPr>
          <w:p w14:paraId="11372EA5" w14:textId="77777777" w:rsidR="00024FF2" w:rsidRPr="00B13FC6" w:rsidRDefault="00024FF2" w:rsidP="00024FF2">
            <w:pPr>
              <w:spacing w:after="0" w:line="240" w:lineRule="auto"/>
              <w:rPr>
                <w:rFonts w:ascii="Arial" w:eastAsia="Times New Roman" w:hAnsi="Arial" w:cs="Arial"/>
                <w:sz w:val="18"/>
                <w:szCs w:val="18"/>
              </w:rPr>
            </w:pPr>
          </w:p>
        </w:tc>
        <w:tc>
          <w:tcPr>
            <w:tcW w:w="640" w:type="dxa"/>
            <w:tcBorders>
              <w:top w:val="nil"/>
              <w:left w:val="nil"/>
              <w:bottom w:val="nil"/>
              <w:right w:val="nil"/>
            </w:tcBorders>
            <w:shd w:val="clear" w:color="auto" w:fill="auto"/>
            <w:noWrap/>
            <w:vAlign w:val="bottom"/>
            <w:hideMark/>
          </w:tcPr>
          <w:p w14:paraId="0D052DC3" w14:textId="77777777" w:rsidR="00024FF2" w:rsidRPr="00B13FC6" w:rsidRDefault="00024FF2" w:rsidP="00024FF2">
            <w:pPr>
              <w:spacing w:after="0" w:line="240" w:lineRule="auto"/>
              <w:rPr>
                <w:rFonts w:ascii="Arial" w:eastAsia="Times New Roman" w:hAnsi="Arial" w:cs="Arial"/>
                <w:sz w:val="18"/>
                <w:szCs w:val="18"/>
              </w:rPr>
            </w:pPr>
          </w:p>
        </w:tc>
      </w:tr>
      <w:tr w:rsidR="00024FF2" w:rsidRPr="00B13FC6" w14:paraId="21E10303" w14:textId="77777777" w:rsidTr="00024FF2">
        <w:trPr>
          <w:trHeight w:val="255"/>
        </w:trPr>
        <w:tc>
          <w:tcPr>
            <w:tcW w:w="640" w:type="dxa"/>
            <w:tcBorders>
              <w:top w:val="nil"/>
              <w:left w:val="nil"/>
              <w:bottom w:val="nil"/>
              <w:right w:val="nil"/>
            </w:tcBorders>
            <w:shd w:val="clear" w:color="auto" w:fill="auto"/>
            <w:noWrap/>
            <w:vAlign w:val="bottom"/>
            <w:hideMark/>
          </w:tcPr>
          <w:p w14:paraId="4FCD6FCC" w14:textId="77777777" w:rsidR="00024FF2" w:rsidRPr="00B13FC6" w:rsidRDefault="00024FF2" w:rsidP="00024FF2">
            <w:pPr>
              <w:spacing w:after="0" w:line="240" w:lineRule="auto"/>
              <w:rPr>
                <w:rFonts w:ascii="Arial" w:eastAsia="Times New Roman" w:hAnsi="Arial" w:cs="Arial"/>
                <w:sz w:val="18"/>
                <w:szCs w:val="18"/>
              </w:rPr>
            </w:pPr>
          </w:p>
        </w:tc>
        <w:tc>
          <w:tcPr>
            <w:tcW w:w="1440" w:type="dxa"/>
            <w:tcBorders>
              <w:top w:val="nil"/>
              <w:left w:val="nil"/>
              <w:bottom w:val="double" w:sz="6" w:space="0" w:color="auto"/>
              <w:right w:val="nil"/>
            </w:tcBorders>
            <w:shd w:val="clear" w:color="auto" w:fill="auto"/>
            <w:noWrap/>
            <w:vAlign w:val="bottom"/>
            <w:hideMark/>
          </w:tcPr>
          <w:p w14:paraId="1746C0AD" w14:textId="77777777" w:rsidR="00024FF2" w:rsidRPr="00B13FC6" w:rsidRDefault="00024FF2" w:rsidP="00024FF2">
            <w:pPr>
              <w:spacing w:after="0" w:line="240" w:lineRule="auto"/>
              <w:rPr>
                <w:rFonts w:ascii="Arial" w:eastAsia="Times New Roman" w:hAnsi="Arial" w:cs="Arial"/>
                <w:sz w:val="18"/>
                <w:szCs w:val="18"/>
              </w:rPr>
            </w:pPr>
            <w:r w:rsidRPr="00B13FC6">
              <w:rPr>
                <w:rFonts w:ascii="Arial" w:eastAsia="Times New Roman" w:hAnsi="Arial" w:cs="Arial"/>
                <w:sz w:val="18"/>
                <w:szCs w:val="18"/>
              </w:rPr>
              <w:t> </w:t>
            </w:r>
          </w:p>
        </w:tc>
        <w:tc>
          <w:tcPr>
            <w:tcW w:w="1440" w:type="dxa"/>
            <w:tcBorders>
              <w:top w:val="nil"/>
              <w:left w:val="nil"/>
              <w:bottom w:val="double" w:sz="6" w:space="0" w:color="auto"/>
              <w:right w:val="nil"/>
            </w:tcBorders>
            <w:shd w:val="clear" w:color="auto" w:fill="auto"/>
            <w:noWrap/>
            <w:vAlign w:val="bottom"/>
            <w:hideMark/>
          </w:tcPr>
          <w:p w14:paraId="105A5EFA" w14:textId="77777777" w:rsidR="00024FF2" w:rsidRPr="00B13FC6" w:rsidRDefault="00024FF2" w:rsidP="00024FF2">
            <w:pPr>
              <w:spacing w:after="0" w:line="240" w:lineRule="auto"/>
              <w:rPr>
                <w:rFonts w:ascii="Arial" w:eastAsia="Times New Roman" w:hAnsi="Arial" w:cs="Arial"/>
                <w:sz w:val="18"/>
                <w:szCs w:val="18"/>
              </w:rPr>
            </w:pPr>
            <w:r w:rsidRPr="00B13FC6">
              <w:rPr>
                <w:rFonts w:ascii="Arial" w:eastAsia="Times New Roman" w:hAnsi="Arial" w:cs="Arial"/>
                <w:sz w:val="18"/>
                <w:szCs w:val="18"/>
              </w:rPr>
              <w:t> </w:t>
            </w:r>
          </w:p>
        </w:tc>
        <w:tc>
          <w:tcPr>
            <w:tcW w:w="640" w:type="dxa"/>
            <w:tcBorders>
              <w:top w:val="nil"/>
              <w:left w:val="nil"/>
              <w:bottom w:val="nil"/>
              <w:right w:val="nil"/>
            </w:tcBorders>
            <w:shd w:val="clear" w:color="auto" w:fill="auto"/>
            <w:noWrap/>
            <w:vAlign w:val="bottom"/>
            <w:hideMark/>
          </w:tcPr>
          <w:p w14:paraId="75FA6426" w14:textId="77777777" w:rsidR="00024FF2" w:rsidRPr="00B13FC6" w:rsidRDefault="00024FF2" w:rsidP="00024FF2">
            <w:pPr>
              <w:spacing w:after="0" w:line="240" w:lineRule="auto"/>
              <w:rPr>
                <w:rFonts w:ascii="Arial" w:eastAsia="Times New Roman" w:hAnsi="Arial" w:cs="Arial"/>
                <w:sz w:val="18"/>
                <w:szCs w:val="18"/>
              </w:rPr>
            </w:pPr>
          </w:p>
        </w:tc>
      </w:tr>
      <w:tr w:rsidR="00024FF2" w:rsidRPr="00B13FC6" w14:paraId="5B7212B0" w14:textId="77777777" w:rsidTr="00024FF2">
        <w:trPr>
          <w:trHeight w:val="450"/>
        </w:trPr>
        <w:tc>
          <w:tcPr>
            <w:tcW w:w="4160"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503D51A5" w14:textId="157D3494" w:rsidR="00024FF2" w:rsidRPr="00B13FC6" w:rsidRDefault="00024FF2" w:rsidP="00E94DBE">
            <w:pPr>
              <w:spacing w:after="0" w:line="240" w:lineRule="auto"/>
              <w:jc w:val="center"/>
              <w:rPr>
                <w:rFonts w:ascii="Times New Roman" w:eastAsia="Times New Roman" w:hAnsi="Times New Roman" w:cs="Times New Roman"/>
                <w:b/>
                <w:bCs/>
                <w:sz w:val="20"/>
                <w:szCs w:val="20"/>
              </w:rPr>
            </w:pPr>
            <w:r w:rsidRPr="00B13FC6">
              <w:rPr>
                <w:rFonts w:ascii="Times New Roman" w:eastAsia="Times New Roman" w:hAnsi="Times New Roman" w:cs="Times New Roman"/>
                <w:b/>
                <w:bCs/>
                <w:sz w:val="20"/>
                <w:szCs w:val="20"/>
              </w:rPr>
              <w:t xml:space="preserve">OTP Banka Slovensko, </w:t>
            </w:r>
            <w:proofErr w:type="spellStart"/>
            <w:r w:rsidRPr="00B13FC6">
              <w:rPr>
                <w:rFonts w:ascii="Times New Roman" w:eastAsia="Times New Roman" w:hAnsi="Times New Roman" w:cs="Times New Roman"/>
                <w:b/>
                <w:bCs/>
                <w:sz w:val="20"/>
                <w:szCs w:val="20"/>
              </w:rPr>
              <w:t>a.s</w:t>
            </w:r>
            <w:proofErr w:type="spellEnd"/>
            <w:r w:rsidRPr="00B13FC6">
              <w:rPr>
                <w:rFonts w:ascii="Times New Roman" w:eastAsia="Times New Roman" w:hAnsi="Times New Roman" w:cs="Times New Roman"/>
                <w:b/>
                <w:bCs/>
                <w:sz w:val="20"/>
                <w:szCs w:val="20"/>
              </w:rPr>
              <w:t>.</w:t>
            </w:r>
            <w:r w:rsidRPr="00B13FC6">
              <w:rPr>
                <w:rFonts w:ascii="Times New Roman" w:eastAsia="Times New Roman" w:hAnsi="Times New Roman" w:cs="Times New Roman"/>
                <w:b/>
                <w:bCs/>
                <w:sz w:val="20"/>
                <w:szCs w:val="20"/>
              </w:rPr>
              <w:br/>
            </w:r>
          </w:p>
        </w:tc>
      </w:tr>
      <w:tr w:rsidR="00024FF2" w:rsidRPr="00B13FC6" w14:paraId="3DDFADC6"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4243CB6B" w14:textId="77777777" w:rsidR="00024FF2" w:rsidRPr="00B13FC6" w:rsidRDefault="00024FF2" w:rsidP="00024FF2">
            <w:pPr>
              <w:spacing w:after="0" w:line="240" w:lineRule="auto"/>
              <w:rPr>
                <w:rFonts w:ascii="Times New Roman" w:eastAsia="Times New Roman" w:hAnsi="Times New Roman" w:cs="Times New Roman"/>
                <w:b/>
                <w:bCs/>
                <w:sz w:val="20"/>
                <w:szCs w:val="20"/>
              </w:rPr>
            </w:pPr>
          </w:p>
        </w:tc>
      </w:tr>
      <w:tr w:rsidR="00024FF2" w:rsidRPr="00B13FC6" w14:paraId="13E07B2C"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491A5FF8" w14:textId="77777777" w:rsidR="00024FF2" w:rsidRPr="00B13FC6" w:rsidRDefault="00024FF2" w:rsidP="00024FF2">
            <w:pPr>
              <w:spacing w:after="0" w:line="240" w:lineRule="auto"/>
              <w:rPr>
                <w:rFonts w:ascii="Times New Roman" w:eastAsia="Times New Roman" w:hAnsi="Times New Roman" w:cs="Times New Roman"/>
                <w:b/>
                <w:bCs/>
                <w:sz w:val="20"/>
                <w:szCs w:val="20"/>
              </w:rPr>
            </w:pPr>
          </w:p>
        </w:tc>
      </w:tr>
    </w:tbl>
    <w:p w14:paraId="20449CBB" w14:textId="77777777" w:rsidR="000A75BD" w:rsidRPr="00B13FC6" w:rsidRDefault="000A75BD" w:rsidP="00C60CC2">
      <w:pPr>
        <w:spacing w:line="240" w:lineRule="auto"/>
        <w:ind w:right="-426"/>
        <w:jc w:val="center"/>
        <w:rPr>
          <w:rFonts w:ascii="Arial" w:hAnsi="Arial" w:cs="Arial"/>
          <w:sz w:val="26"/>
          <w:szCs w:val="26"/>
        </w:rPr>
      </w:pPr>
    </w:p>
    <w:p w14:paraId="360EDBB3" w14:textId="77777777" w:rsidR="000A75BD" w:rsidRPr="00B13FC6" w:rsidRDefault="000A75BD" w:rsidP="00C60CC2">
      <w:pPr>
        <w:spacing w:line="240" w:lineRule="auto"/>
        <w:ind w:right="-426"/>
        <w:jc w:val="center"/>
        <w:rPr>
          <w:rFonts w:ascii="Arial" w:hAnsi="Arial" w:cs="Arial"/>
          <w:sz w:val="26"/>
          <w:szCs w:val="26"/>
        </w:rPr>
      </w:pPr>
    </w:p>
    <w:p w14:paraId="21EAF093" w14:textId="77777777" w:rsidR="000A75BD" w:rsidRPr="00B13FC6" w:rsidRDefault="000A75BD" w:rsidP="00C60CC2">
      <w:pPr>
        <w:spacing w:line="240" w:lineRule="auto"/>
        <w:ind w:right="-426"/>
        <w:jc w:val="center"/>
        <w:rPr>
          <w:rFonts w:ascii="Arial" w:hAnsi="Arial" w:cs="Arial"/>
          <w:sz w:val="26"/>
          <w:szCs w:val="26"/>
        </w:rPr>
      </w:pPr>
    </w:p>
    <w:p w14:paraId="4AEB1358" w14:textId="77777777" w:rsidR="000A75BD" w:rsidRPr="00B13FC6" w:rsidRDefault="000A75BD" w:rsidP="00C60CC2">
      <w:pPr>
        <w:spacing w:line="240" w:lineRule="auto"/>
        <w:ind w:right="-426"/>
        <w:jc w:val="center"/>
        <w:rPr>
          <w:rFonts w:ascii="Arial" w:hAnsi="Arial" w:cs="Arial"/>
          <w:sz w:val="26"/>
          <w:szCs w:val="26"/>
        </w:rPr>
      </w:pPr>
    </w:p>
    <w:p w14:paraId="05CDDF2B" w14:textId="77777777" w:rsidR="000A75BD" w:rsidRPr="00B13FC6" w:rsidRDefault="000A75BD" w:rsidP="00C60CC2">
      <w:pPr>
        <w:spacing w:line="240" w:lineRule="auto"/>
        <w:ind w:right="-426"/>
        <w:jc w:val="center"/>
        <w:rPr>
          <w:rFonts w:ascii="Arial" w:hAnsi="Arial" w:cs="Arial"/>
          <w:sz w:val="26"/>
          <w:szCs w:val="26"/>
        </w:rPr>
      </w:pPr>
    </w:p>
    <w:p w14:paraId="0CF83447" w14:textId="77777777" w:rsidR="000A75BD" w:rsidRPr="00B13FC6" w:rsidRDefault="000A75BD" w:rsidP="00C60CC2">
      <w:pPr>
        <w:spacing w:line="240" w:lineRule="auto"/>
        <w:ind w:right="-426"/>
        <w:jc w:val="center"/>
        <w:rPr>
          <w:rFonts w:ascii="Arial" w:hAnsi="Arial" w:cs="Arial"/>
          <w:sz w:val="26"/>
          <w:szCs w:val="26"/>
        </w:rPr>
      </w:pPr>
    </w:p>
    <w:p w14:paraId="3C8FA714" w14:textId="77777777" w:rsidR="000A75BD" w:rsidRPr="00B13FC6" w:rsidRDefault="000A75BD" w:rsidP="00C60CC2">
      <w:pPr>
        <w:spacing w:line="240" w:lineRule="auto"/>
        <w:ind w:right="-426"/>
        <w:jc w:val="center"/>
        <w:rPr>
          <w:rFonts w:ascii="Arial" w:hAnsi="Arial" w:cs="Arial"/>
          <w:sz w:val="26"/>
          <w:szCs w:val="26"/>
        </w:rPr>
      </w:pPr>
    </w:p>
    <w:p w14:paraId="64B5564B" w14:textId="77777777" w:rsidR="000A75BD" w:rsidRPr="00B13FC6" w:rsidRDefault="000A75BD" w:rsidP="00C60CC2">
      <w:pPr>
        <w:spacing w:line="240" w:lineRule="auto"/>
        <w:ind w:right="-426"/>
        <w:jc w:val="center"/>
        <w:rPr>
          <w:rFonts w:ascii="Arial" w:hAnsi="Arial" w:cs="Arial"/>
          <w:sz w:val="26"/>
          <w:szCs w:val="26"/>
        </w:rPr>
      </w:pPr>
    </w:p>
    <w:p w14:paraId="031EBA4F" w14:textId="77777777" w:rsidR="000A75BD" w:rsidRPr="00B13FC6" w:rsidRDefault="000A75BD" w:rsidP="00C60CC2">
      <w:pPr>
        <w:spacing w:line="240" w:lineRule="auto"/>
        <w:ind w:right="-426"/>
        <w:jc w:val="center"/>
        <w:rPr>
          <w:rFonts w:ascii="Arial" w:hAnsi="Arial" w:cs="Arial"/>
          <w:sz w:val="26"/>
          <w:szCs w:val="26"/>
        </w:rPr>
      </w:pPr>
    </w:p>
    <w:p w14:paraId="5E9FFC2B" w14:textId="4A366333" w:rsidR="000A75BD" w:rsidRDefault="000A75BD" w:rsidP="00C60CC2">
      <w:pPr>
        <w:spacing w:line="240" w:lineRule="auto"/>
        <w:ind w:right="-426"/>
        <w:jc w:val="center"/>
        <w:rPr>
          <w:rFonts w:ascii="Arial" w:hAnsi="Arial" w:cs="Arial"/>
          <w:sz w:val="26"/>
          <w:szCs w:val="26"/>
        </w:rPr>
      </w:pPr>
    </w:p>
    <w:p w14:paraId="23887691" w14:textId="77777777" w:rsidR="00F33F13" w:rsidRPr="00B13FC6" w:rsidRDefault="00F33F13" w:rsidP="00C60CC2">
      <w:pPr>
        <w:spacing w:line="240" w:lineRule="auto"/>
        <w:ind w:right="-426"/>
        <w:jc w:val="center"/>
        <w:rPr>
          <w:rFonts w:ascii="Arial" w:hAnsi="Arial" w:cs="Arial"/>
          <w:sz w:val="26"/>
          <w:szCs w:val="26"/>
        </w:rPr>
      </w:pPr>
    </w:p>
    <w:p w14:paraId="428EF486" w14:textId="6E96BF41" w:rsidR="00C60CC2" w:rsidRPr="00B13FC6" w:rsidRDefault="00C60CC2" w:rsidP="00C60CC2">
      <w:pPr>
        <w:spacing w:line="240" w:lineRule="auto"/>
        <w:ind w:right="-426"/>
        <w:jc w:val="center"/>
        <w:rPr>
          <w:rFonts w:ascii="Arial" w:hAnsi="Arial" w:cs="Arial"/>
          <w:sz w:val="26"/>
          <w:szCs w:val="26"/>
        </w:rPr>
      </w:pPr>
      <w:r w:rsidRPr="00B13FC6">
        <w:rPr>
          <w:rFonts w:ascii="Arial" w:hAnsi="Arial" w:cs="Arial"/>
          <w:sz w:val="26"/>
          <w:szCs w:val="26"/>
        </w:rPr>
        <w:t>Informácie podľa osobitného predpisu</w:t>
      </w:r>
      <w:r w:rsidRPr="00B13FC6">
        <w:rPr>
          <w:rStyle w:val="FootnoteReference"/>
          <w:rFonts w:ascii="Arial" w:hAnsi="Arial" w:cs="Arial"/>
          <w:sz w:val="26"/>
          <w:szCs w:val="26"/>
        </w:rPr>
        <w:footnoteReference w:id="1"/>
      </w:r>
      <w:r w:rsidRPr="00B13FC6">
        <w:rPr>
          <w:rFonts w:ascii="Arial" w:hAnsi="Arial" w:cs="Arial"/>
          <w:sz w:val="26"/>
          <w:szCs w:val="26"/>
          <w:vertAlign w:val="superscript"/>
        </w:rPr>
        <w:t>)</w:t>
      </w:r>
    </w:p>
    <w:p w14:paraId="1F064627" w14:textId="77777777" w:rsidR="00473B4B" w:rsidRPr="00EA7F95" w:rsidRDefault="00473B4B" w:rsidP="00473B4B">
      <w:pPr>
        <w:numPr>
          <w:ilvl w:val="0"/>
          <w:numId w:val="5"/>
        </w:numPr>
        <w:ind w:left="567" w:hanging="709"/>
        <w:contextualSpacing/>
        <w:rPr>
          <w:rFonts w:ascii="Arial" w:hAnsi="Arial" w:cs="Arial"/>
          <w:b/>
          <w:color w:val="000000" w:themeColor="text1"/>
          <w:sz w:val="20"/>
          <w:szCs w:val="20"/>
        </w:rPr>
      </w:pPr>
      <w:r w:rsidRPr="00EA7F95">
        <w:rPr>
          <w:rFonts w:ascii="Arial" w:hAnsi="Arial" w:cs="Arial"/>
          <w:b/>
          <w:color w:val="000000" w:themeColor="text1"/>
          <w:sz w:val="20"/>
          <w:szCs w:val="20"/>
        </w:rPr>
        <w:t>Stratégia a postup riadenia jednotlivých rizík</w:t>
      </w:r>
    </w:p>
    <w:p w14:paraId="4EBE01A9" w14:textId="77777777" w:rsidR="00473B4B" w:rsidRPr="00EA7F95" w:rsidRDefault="00473B4B" w:rsidP="00473B4B">
      <w:pPr>
        <w:spacing w:line="240" w:lineRule="auto"/>
        <w:ind w:left="720"/>
        <w:contextualSpacing/>
        <w:rPr>
          <w:rFonts w:ascii="Arial" w:hAnsi="Arial" w:cs="Arial"/>
          <w:color w:val="000000" w:themeColor="text1"/>
          <w:sz w:val="20"/>
          <w:szCs w:val="20"/>
        </w:rPr>
      </w:pPr>
    </w:p>
    <w:p w14:paraId="6A5292C6" w14:textId="77777777" w:rsidR="00473B4B" w:rsidRPr="00EA7F95" w:rsidRDefault="00473B4B" w:rsidP="00473B4B">
      <w:pPr>
        <w:ind w:left="567"/>
        <w:contextualSpacing/>
        <w:jc w:val="both"/>
        <w:rPr>
          <w:rFonts w:ascii="Arial" w:hAnsi="Arial" w:cs="Arial"/>
          <w:bCs/>
          <w:color w:val="000000" w:themeColor="text1"/>
          <w:sz w:val="20"/>
          <w:szCs w:val="20"/>
        </w:rPr>
      </w:pPr>
      <w:r w:rsidRPr="00EA7F95">
        <w:rPr>
          <w:rFonts w:ascii="Arial" w:hAnsi="Arial" w:cs="Arial"/>
          <w:bCs/>
          <w:color w:val="000000" w:themeColor="text1"/>
          <w:sz w:val="20"/>
          <w:szCs w:val="20"/>
        </w:rPr>
        <w:t xml:space="preserve">Cieľom riadenia rizík v OTP Banke Slovensko, </w:t>
      </w:r>
      <w:proofErr w:type="spellStart"/>
      <w:r w:rsidRPr="00EA7F95">
        <w:rPr>
          <w:rFonts w:ascii="Arial" w:hAnsi="Arial" w:cs="Arial"/>
          <w:bCs/>
          <w:color w:val="000000" w:themeColor="text1"/>
          <w:sz w:val="20"/>
          <w:szCs w:val="20"/>
        </w:rPr>
        <w:t>a.s</w:t>
      </w:r>
      <w:proofErr w:type="spellEnd"/>
      <w:r w:rsidRPr="00EA7F95">
        <w:rPr>
          <w:rFonts w:ascii="Arial" w:hAnsi="Arial" w:cs="Arial"/>
          <w:bCs/>
          <w:color w:val="000000" w:themeColor="text1"/>
          <w:sz w:val="20"/>
          <w:szCs w:val="20"/>
        </w:rPr>
        <w:t>. (ďalej „Banka“) je plnenie strategických plánov banky spôsobom, ktorý zabezpečí rovnováhu medzi ziskom a rizikami. Riadením rizík banka predchádza možným stratám vrátane škôd včasnou a vhodnou identifikáciou rizík, meraním veľkosti rizík, sledovaním a zmierňovaním rizík, aby došlo k obmedzeniu strát z neočakávaných udalostí a zaistila sa tak neprerušená činnosť banky.</w:t>
      </w:r>
    </w:p>
    <w:p w14:paraId="7CD5A2B9" w14:textId="77777777" w:rsidR="00473B4B" w:rsidRPr="00EA7F95" w:rsidRDefault="00473B4B" w:rsidP="00473B4B">
      <w:pPr>
        <w:spacing w:line="240" w:lineRule="auto"/>
        <w:ind w:left="567"/>
        <w:contextualSpacing/>
        <w:rPr>
          <w:rFonts w:ascii="Arial" w:hAnsi="Arial" w:cs="Arial"/>
          <w:color w:val="000000" w:themeColor="text1"/>
          <w:sz w:val="20"/>
          <w:szCs w:val="20"/>
        </w:rPr>
      </w:pPr>
    </w:p>
    <w:p w14:paraId="2AD08985" w14:textId="77777777" w:rsidR="00473B4B" w:rsidRPr="00EA7F95" w:rsidRDefault="00473B4B" w:rsidP="00473B4B">
      <w:pPr>
        <w:spacing w:line="240" w:lineRule="auto"/>
        <w:ind w:left="567"/>
        <w:contextualSpacing/>
        <w:rPr>
          <w:rFonts w:ascii="Arial" w:hAnsi="Arial" w:cs="Arial"/>
          <w:color w:val="000000" w:themeColor="text1"/>
          <w:sz w:val="20"/>
          <w:szCs w:val="20"/>
        </w:rPr>
      </w:pPr>
    </w:p>
    <w:p w14:paraId="1D3885F7" w14:textId="77777777" w:rsidR="00473B4B" w:rsidRPr="00EA7F95" w:rsidRDefault="00473B4B" w:rsidP="00473B4B">
      <w:pPr>
        <w:ind w:left="567"/>
        <w:contextualSpacing/>
        <w:rPr>
          <w:rFonts w:ascii="Arial" w:hAnsi="Arial" w:cs="Arial"/>
          <w:color w:val="000000" w:themeColor="text1"/>
          <w:sz w:val="20"/>
          <w:szCs w:val="20"/>
        </w:rPr>
      </w:pPr>
      <w:r w:rsidRPr="00EA7F95">
        <w:rPr>
          <w:rFonts w:ascii="Arial" w:hAnsi="Arial" w:cs="Arial"/>
          <w:color w:val="000000" w:themeColor="text1"/>
          <w:sz w:val="20"/>
          <w:szCs w:val="20"/>
        </w:rPr>
        <w:t>K najvýznamnejším rizikám, ktorým je banka vystavená patria:</w:t>
      </w:r>
    </w:p>
    <w:p w14:paraId="1C78159F" w14:textId="77777777" w:rsidR="00473B4B" w:rsidRPr="00EA7F95" w:rsidRDefault="00473B4B" w:rsidP="00473B4B">
      <w:pPr>
        <w:numPr>
          <w:ilvl w:val="0"/>
          <w:numId w:val="14"/>
        </w:numPr>
        <w:ind w:hanging="436"/>
        <w:contextualSpacing/>
        <w:rPr>
          <w:rFonts w:ascii="Arial" w:hAnsi="Arial" w:cs="Arial"/>
          <w:color w:val="000000" w:themeColor="text1"/>
          <w:sz w:val="20"/>
          <w:szCs w:val="20"/>
        </w:rPr>
      </w:pPr>
      <w:r w:rsidRPr="00EA7F95">
        <w:rPr>
          <w:rFonts w:ascii="Arial" w:hAnsi="Arial" w:cs="Arial"/>
          <w:color w:val="000000" w:themeColor="text1"/>
          <w:sz w:val="20"/>
          <w:szCs w:val="20"/>
        </w:rPr>
        <w:t>Kreditné riziko</w:t>
      </w:r>
    </w:p>
    <w:p w14:paraId="45E233C7" w14:textId="77777777" w:rsidR="00473B4B" w:rsidRPr="00EA7F95" w:rsidRDefault="00473B4B" w:rsidP="00473B4B">
      <w:pPr>
        <w:numPr>
          <w:ilvl w:val="0"/>
          <w:numId w:val="14"/>
        </w:numPr>
        <w:ind w:hanging="436"/>
        <w:contextualSpacing/>
        <w:rPr>
          <w:rFonts w:ascii="Arial" w:hAnsi="Arial" w:cs="Arial"/>
          <w:color w:val="000000" w:themeColor="text1"/>
          <w:sz w:val="20"/>
          <w:szCs w:val="20"/>
        </w:rPr>
      </w:pPr>
      <w:r w:rsidRPr="00EA7F95">
        <w:rPr>
          <w:rFonts w:ascii="Arial" w:hAnsi="Arial" w:cs="Arial"/>
          <w:color w:val="000000" w:themeColor="text1"/>
          <w:sz w:val="20"/>
          <w:szCs w:val="20"/>
        </w:rPr>
        <w:t>Trhové riziko</w:t>
      </w:r>
    </w:p>
    <w:p w14:paraId="11E929EB" w14:textId="77777777" w:rsidR="00473B4B" w:rsidRPr="00EA7F95" w:rsidRDefault="00473B4B" w:rsidP="00473B4B">
      <w:pPr>
        <w:numPr>
          <w:ilvl w:val="3"/>
          <w:numId w:val="14"/>
        </w:numPr>
        <w:ind w:left="1276" w:hanging="425"/>
        <w:contextualSpacing/>
        <w:rPr>
          <w:rFonts w:ascii="Arial" w:hAnsi="Arial" w:cs="Arial"/>
          <w:color w:val="000000" w:themeColor="text1"/>
          <w:sz w:val="20"/>
          <w:szCs w:val="20"/>
        </w:rPr>
      </w:pPr>
      <w:r w:rsidRPr="00EA7F95">
        <w:rPr>
          <w:rFonts w:ascii="Arial" w:hAnsi="Arial" w:cs="Arial"/>
          <w:color w:val="000000" w:themeColor="text1"/>
          <w:sz w:val="20"/>
          <w:szCs w:val="20"/>
        </w:rPr>
        <w:t>Menové riziko</w:t>
      </w:r>
    </w:p>
    <w:p w14:paraId="38F9E0EE" w14:textId="77777777" w:rsidR="00473B4B" w:rsidRPr="00EA7F95" w:rsidRDefault="00473B4B" w:rsidP="00473B4B">
      <w:pPr>
        <w:numPr>
          <w:ilvl w:val="3"/>
          <w:numId w:val="14"/>
        </w:numPr>
        <w:ind w:left="1276" w:hanging="425"/>
        <w:contextualSpacing/>
        <w:rPr>
          <w:rFonts w:ascii="Arial" w:hAnsi="Arial" w:cs="Arial"/>
          <w:color w:val="000000" w:themeColor="text1"/>
          <w:sz w:val="20"/>
          <w:szCs w:val="20"/>
        </w:rPr>
      </w:pPr>
      <w:r w:rsidRPr="00EA7F95">
        <w:rPr>
          <w:rFonts w:ascii="Arial" w:hAnsi="Arial" w:cs="Arial"/>
          <w:color w:val="000000" w:themeColor="text1"/>
          <w:sz w:val="20"/>
          <w:szCs w:val="20"/>
        </w:rPr>
        <w:t>Úrokové riziko</w:t>
      </w:r>
    </w:p>
    <w:p w14:paraId="6536EC04" w14:textId="77777777" w:rsidR="00473B4B" w:rsidRPr="00EA7F95" w:rsidRDefault="00473B4B" w:rsidP="00473B4B">
      <w:pPr>
        <w:numPr>
          <w:ilvl w:val="3"/>
          <w:numId w:val="14"/>
        </w:numPr>
        <w:ind w:left="1276" w:hanging="425"/>
        <w:contextualSpacing/>
        <w:rPr>
          <w:rFonts w:ascii="Arial" w:hAnsi="Arial" w:cs="Arial"/>
          <w:color w:val="000000" w:themeColor="text1"/>
          <w:sz w:val="20"/>
          <w:szCs w:val="20"/>
        </w:rPr>
      </w:pPr>
      <w:r w:rsidRPr="00EA7F95">
        <w:rPr>
          <w:rFonts w:ascii="Arial" w:hAnsi="Arial" w:cs="Arial"/>
          <w:color w:val="000000" w:themeColor="text1"/>
          <w:sz w:val="20"/>
          <w:szCs w:val="20"/>
        </w:rPr>
        <w:t>Iné cenové riziko</w:t>
      </w:r>
    </w:p>
    <w:p w14:paraId="07094254" w14:textId="77777777" w:rsidR="00473B4B" w:rsidRPr="00EA7F95" w:rsidRDefault="00473B4B" w:rsidP="00473B4B">
      <w:pPr>
        <w:numPr>
          <w:ilvl w:val="0"/>
          <w:numId w:val="14"/>
        </w:numPr>
        <w:ind w:hanging="436"/>
        <w:contextualSpacing/>
        <w:rPr>
          <w:rFonts w:ascii="Arial" w:hAnsi="Arial" w:cs="Arial"/>
          <w:color w:val="000000" w:themeColor="text1"/>
          <w:sz w:val="20"/>
          <w:szCs w:val="20"/>
        </w:rPr>
      </w:pPr>
      <w:r w:rsidRPr="00EA7F95">
        <w:rPr>
          <w:rFonts w:ascii="Arial" w:hAnsi="Arial" w:cs="Arial"/>
          <w:color w:val="000000" w:themeColor="text1"/>
          <w:sz w:val="20"/>
          <w:szCs w:val="20"/>
        </w:rPr>
        <w:t>Riziko likvidity</w:t>
      </w:r>
    </w:p>
    <w:p w14:paraId="09424113" w14:textId="77777777" w:rsidR="00473B4B" w:rsidRPr="00EA7F95" w:rsidRDefault="00473B4B" w:rsidP="00473B4B">
      <w:pPr>
        <w:numPr>
          <w:ilvl w:val="0"/>
          <w:numId w:val="14"/>
        </w:numPr>
        <w:ind w:hanging="436"/>
        <w:contextualSpacing/>
        <w:rPr>
          <w:rFonts w:ascii="Arial" w:hAnsi="Arial" w:cs="Arial"/>
          <w:color w:val="000000" w:themeColor="text1"/>
          <w:sz w:val="20"/>
          <w:szCs w:val="20"/>
        </w:rPr>
      </w:pPr>
      <w:r w:rsidRPr="00EA7F95">
        <w:rPr>
          <w:rFonts w:ascii="Arial" w:hAnsi="Arial" w:cs="Arial"/>
          <w:color w:val="000000" w:themeColor="text1"/>
          <w:sz w:val="20"/>
          <w:szCs w:val="20"/>
        </w:rPr>
        <w:t>Operačné riziko</w:t>
      </w:r>
    </w:p>
    <w:p w14:paraId="4DC71DFD" w14:textId="77777777" w:rsidR="00473B4B" w:rsidRPr="009A3D6A" w:rsidRDefault="00473B4B" w:rsidP="00473B4B">
      <w:pPr>
        <w:spacing w:line="240" w:lineRule="auto"/>
        <w:ind w:left="1440"/>
        <w:contextualSpacing/>
        <w:rPr>
          <w:rFonts w:ascii="Arial" w:hAnsi="Arial" w:cs="Arial"/>
          <w:color w:val="000000" w:themeColor="text1"/>
          <w:sz w:val="20"/>
          <w:szCs w:val="20"/>
          <w:highlight w:val="red"/>
        </w:rPr>
      </w:pPr>
    </w:p>
    <w:p w14:paraId="6AD65391" w14:textId="77777777" w:rsidR="00473B4B" w:rsidRPr="00EA7F95" w:rsidRDefault="00473B4B" w:rsidP="00473B4B">
      <w:pPr>
        <w:numPr>
          <w:ilvl w:val="0"/>
          <w:numId w:val="5"/>
        </w:numPr>
        <w:ind w:left="567" w:hanging="567"/>
        <w:contextualSpacing/>
        <w:rPr>
          <w:rFonts w:ascii="Arial" w:hAnsi="Arial" w:cs="Arial"/>
          <w:b/>
          <w:color w:val="000000" w:themeColor="text1"/>
          <w:sz w:val="20"/>
          <w:szCs w:val="20"/>
        </w:rPr>
      </w:pPr>
      <w:r w:rsidRPr="00EA7F95">
        <w:rPr>
          <w:rFonts w:ascii="Arial" w:hAnsi="Arial" w:cs="Arial"/>
          <w:b/>
          <w:color w:val="000000" w:themeColor="text1"/>
          <w:sz w:val="20"/>
          <w:szCs w:val="20"/>
        </w:rPr>
        <w:t>Štruktúra a organizácia riadenia jednotlivých rizík</w:t>
      </w:r>
    </w:p>
    <w:p w14:paraId="3B50C7A7" w14:textId="77777777" w:rsidR="00473B4B" w:rsidRPr="00EA7F95"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EA7F95">
        <w:rPr>
          <w:rFonts w:ascii="Arial" w:eastAsia="Times New Roman" w:hAnsi="Arial" w:cs="Arial"/>
          <w:color w:val="000000" w:themeColor="text1"/>
          <w:sz w:val="20"/>
          <w:szCs w:val="20"/>
        </w:rPr>
        <w:t xml:space="preserve">Banka má vytvorenú organizačnú štruktúru zabezpečujúcu oddelenie obchodných činností od činností spojených s vysporiadaním obchodov a od činností spojených s riadením rizík. Za riadenie rizík v banke zodpovedá Divízia Risk, ktorá sa člení na: </w:t>
      </w:r>
    </w:p>
    <w:p w14:paraId="250833C0" w14:textId="77777777" w:rsidR="00473B4B" w:rsidRPr="00EA7F95"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EA7F95">
        <w:rPr>
          <w:rFonts w:ascii="Arial" w:eastAsia="Times New Roman" w:hAnsi="Arial" w:cs="Arial"/>
          <w:color w:val="000000" w:themeColor="text1"/>
          <w:sz w:val="20"/>
          <w:szCs w:val="20"/>
        </w:rPr>
        <w:t xml:space="preserve">- Odbor </w:t>
      </w:r>
      <w:proofErr w:type="spellStart"/>
      <w:r w:rsidRPr="00EA7F95">
        <w:rPr>
          <w:rFonts w:ascii="Arial" w:eastAsia="Times New Roman" w:hAnsi="Arial" w:cs="Arial"/>
          <w:color w:val="000000" w:themeColor="text1"/>
          <w:sz w:val="20"/>
          <w:szCs w:val="20"/>
        </w:rPr>
        <w:t>Work</w:t>
      </w:r>
      <w:proofErr w:type="spellEnd"/>
      <w:r w:rsidRPr="00EA7F95">
        <w:rPr>
          <w:rFonts w:ascii="Arial" w:eastAsia="Times New Roman" w:hAnsi="Arial" w:cs="Arial"/>
          <w:color w:val="000000" w:themeColor="text1"/>
          <w:sz w:val="20"/>
          <w:szCs w:val="20"/>
        </w:rPr>
        <w:t xml:space="preserve"> </w:t>
      </w:r>
      <w:proofErr w:type="spellStart"/>
      <w:r w:rsidRPr="00EA7F95">
        <w:rPr>
          <w:rFonts w:ascii="Arial" w:eastAsia="Times New Roman" w:hAnsi="Arial" w:cs="Arial"/>
          <w:color w:val="000000" w:themeColor="text1"/>
          <w:sz w:val="20"/>
          <w:szCs w:val="20"/>
        </w:rPr>
        <w:t>Out</w:t>
      </w:r>
      <w:proofErr w:type="spellEnd"/>
      <w:r w:rsidRPr="00EA7F95">
        <w:rPr>
          <w:rFonts w:ascii="Arial" w:eastAsia="Times New Roman" w:hAnsi="Arial" w:cs="Arial"/>
          <w:color w:val="000000" w:themeColor="text1"/>
          <w:sz w:val="20"/>
          <w:szCs w:val="20"/>
        </w:rPr>
        <w:t xml:space="preserve"> a Monitoring </w:t>
      </w:r>
    </w:p>
    <w:p w14:paraId="46B61DAC" w14:textId="77777777" w:rsidR="00473B4B" w:rsidRPr="00EA7F95"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EA7F95">
        <w:rPr>
          <w:rFonts w:ascii="Arial" w:eastAsia="Times New Roman" w:hAnsi="Arial" w:cs="Arial"/>
          <w:color w:val="000000" w:themeColor="text1"/>
          <w:sz w:val="20"/>
          <w:szCs w:val="20"/>
        </w:rPr>
        <w:t xml:space="preserve">- Odbor Credit Risk </w:t>
      </w:r>
      <w:proofErr w:type="spellStart"/>
      <w:r w:rsidRPr="00EA7F95">
        <w:rPr>
          <w:rFonts w:ascii="Arial" w:eastAsia="Times New Roman" w:hAnsi="Arial" w:cs="Arial"/>
          <w:color w:val="000000" w:themeColor="text1"/>
          <w:sz w:val="20"/>
          <w:szCs w:val="20"/>
        </w:rPr>
        <w:t>Operations</w:t>
      </w:r>
      <w:proofErr w:type="spellEnd"/>
    </w:p>
    <w:p w14:paraId="539D2FEB" w14:textId="77777777" w:rsidR="00473B4B" w:rsidRPr="00EA7F95"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EA7F95">
        <w:rPr>
          <w:rFonts w:ascii="Arial" w:eastAsia="Times New Roman" w:hAnsi="Arial" w:cs="Arial"/>
          <w:color w:val="000000" w:themeColor="text1"/>
          <w:sz w:val="20"/>
          <w:szCs w:val="20"/>
        </w:rPr>
        <w:t xml:space="preserve">- Odbor Risk </w:t>
      </w:r>
      <w:proofErr w:type="spellStart"/>
      <w:r w:rsidRPr="00EA7F95">
        <w:rPr>
          <w:rFonts w:ascii="Arial" w:eastAsia="Times New Roman" w:hAnsi="Arial" w:cs="Arial"/>
          <w:color w:val="000000" w:themeColor="text1"/>
          <w:sz w:val="20"/>
          <w:szCs w:val="20"/>
        </w:rPr>
        <w:t>Analysis</w:t>
      </w:r>
      <w:proofErr w:type="spellEnd"/>
      <w:r w:rsidRPr="00EA7F95">
        <w:rPr>
          <w:rFonts w:ascii="Arial" w:eastAsia="Times New Roman" w:hAnsi="Arial" w:cs="Arial"/>
          <w:color w:val="000000" w:themeColor="text1"/>
          <w:sz w:val="20"/>
          <w:szCs w:val="20"/>
        </w:rPr>
        <w:t xml:space="preserve"> and </w:t>
      </w:r>
      <w:proofErr w:type="spellStart"/>
      <w:r w:rsidRPr="00EA7F95">
        <w:rPr>
          <w:rFonts w:ascii="Arial" w:eastAsia="Times New Roman" w:hAnsi="Arial" w:cs="Arial"/>
          <w:color w:val="000000" w:themeColor="text1"/>
          <w:sz w:val="20"/>
          <w:szCs w:val="20"/>
        </w:rPr>
        <w:t>Regulation</w:t>
      </w:r>
      <w:proofErr w:type="spellEnd"/>
      <w:r w:rsidRPr="00EA7F95">
        <w:rPr>
          <w:rFonts w:ascii="Arial" w:eastAsia="Times New Roman" w:hAnsi="Arial" w:cs="Arial"/>
          <w:color w:val="000000" w:themeColor="text1"/>
          <w:sz w:val="20"/>
          <w:szCs w:val="20"/>
        </w:rPr>
        <w:t xml:space="preserve"> </w:t>
      </w:r>
    </w:p>
    <w:p w14:paraId="50441B71" w14:textId="77777777" w:rsidR="00473B4B" w:rsidRPr="00EA7F95"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EA7F95">
        <w:rPr>
          <w:rFonts w:ascii="Arial" w:eastAsia="Times New Roman" w:hAnsi="Arial" w:cs="Arial"/>
          <w:color w:val="000000" w:themeColor="text1"/>
          <w:sz w:val="20"/>
          <w:szCs w:val="20"/>
        </w:rPr>
        <w:t xml:space="preserve">- Odbor </w:t>
      </w:r>
      <w:proofErr w:type="spellStart"/>
      <w:r w:rsidRPr="00EA7F95">
        <w:rPr>
          <w:rFonts w:ascii="Arial" w:eastAsia="Times New Roman" w:hAnsi="Arial" w:cs="Arial"/>
          <w:color w:val="000000" w:themeColor="text1"/>
          <w:sz w:val="20"/>
          <w:szCs w:val="20"/>
        </w:rPr>
        <w:t>Market</w:t>
      </w:r>
      <w:proofErr w:type="spellEnd"/>
      <w:r w:rsidRPr="00EA7F95">
        <w:rPr>
          <w:rFonts w:ascii="Arial" w:eastAsia="Times New Roman" w:hAnsi="Arial" w:cs="Arial"/>
          <w:color w:val="000000" w:themeColor="text1"/>
          <w:sz w:val="20"/>
          <w:szCs w:val="20"/>
        </w:rPr>
        <w:t xml:space="preserve"> &amp; </w:t>
      </w:r>
      <w:proofErr w:type="spellStart"/>
      <w:r w:rsidRPr="00EA7F95">
        <w:rPr>
          <w:rFonts w:ascii="Arial" w:eastAsia="Times New Roman" w:hAnsi="Arial" w:cs="Arial"/>
          <w:color w:val="000000" w:themeColor="text1"/>
          <w:sz w:val="20"/>
          <w:szCs w:val="20"/>
        </w:rPr>
        <w:t>Operational</w:t>
      </w:r>
      <w:proofErr w:type="spellEnd"/>
      <w:r w:rsidRPr="00EA7F95">
        <w:rPr>
          <w:rFonts w:ascii="Arial" w:eastAsia="Times New Roman" w:hAnsi="Arial" w:cs="Arial"/>
          <w:color w:val="000000" w:themeColor="text1"/>
          <w:sz w:val="20"/>
          <w:szCs w:val="20"/>
        </w:rPr>
        <w:t xml:space="preserve"> Risk</w:t>
      </w:r>
    </w:p>
    <w:p w14:paraId="5FDDAC6B" w14:textId="77777777" w:rsidR="00473B4B" w:rsidRPr="00EA7F95"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p>
    <w:p w14:paraId="562C7410" w14:textId="77777777" w:rsidR="00473B4B" w:rsidRPr="00EA7F95"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EA7F95">
        <w:rPr>
          <w:rFonts w:ascii="Arial" w:eastAsia="Times New Roman" w:hAnsi="Arial" w:cs="Arial"/>
          <w:color w:val="000000" w:themeColor="text1"/>
          <w:sz w:val="20"/>
          <w:szCs w:val="20"/>
        </w:rPr>
        <w:t>Táto divízia zodpovedá za riadenie kreditných rizík, trhových rizík, rizika likvidity a operačných rizík.</w:t>
      </w:r>
    </w:p>
    <w:p w14:paraId="026D78EF" w14:textId="77777777" w:rsidR="00473B4B" w:rsidRPr="009A3D6A"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highlight w:val="red"/>
        </w:rPr>
      </w:pPr>
    </w:p>
    <w:p w14:paraId="44B62D7F" w14:textId="77777777" w:rsidR="00B351DC" w:rsidRPr="009A3D6A" w:rsidRDefault="00B351DC"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highlight w:val="red"/>
        </w:rPr>
      </w:pPr>
    </w:p>
    <w:p w14:paraId="3CC52A9D" w14:textId="3963CCD7" w:rsidR="00473B4B" w:rsidRPr="00F75987"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Právomoci riadiť riziko sú tiež delegované na jednotlivé riadiace výbory vykonávajúce dohľad nad rizikami:</w:t>
      </w:r>
    </w:p>
    <w:p w14:paraId="73008EF1" w14:textId="3C7E5439" w:rsidR="00473B4B" w:rsidRPr="00F75987"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w:t>
      </w:r>
      <w:r w:rsidR="00F75987" w:rsidRPr="00F75987">
        <w:rPr>
          <w:rFonts w:ascii="Arial" w:eastAsia="Times New Roman" w:hAnsi="Arial" w:cs="Arial"/>
          <w:color w:val="000000" w:themeColor="text1"/>
          <w:sz w:val="20"/>
          <w:szCs w:val="20"/>
        </w:rPr>
        <w:t xml:space="preserve"> </w:t>
      </w:r>
      <w:r w:rsidR="00F75987" w:rsidRPr="00F75987">
        <w:t xml:space="preserve">Credit risk </w:t>
      </w:r>
      <w:proofErr w:type="spellStart"/>
      <w:r w:rsidR="00F75987" w:rsidRPr="00F75987">
        <w:t>Committee</w:t>
      </w:r>
      <w:proofErr w:type="spellEnd"/>
    </w:p>
    <w:p w14:paraId="7778B673" w14:textId="77777777" w:rsidR="00473B4B" w:rsidRPr="00F75987"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 Výbor pre riadenie aktív a pasív (ALCO)</w:t>
      </w:r>
    </w:p>
    <w:p w14:paraId="6CFC4034" w14:textId="77777777" w:rsidR="00473B4B" w:rsidRPr="00F75987"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 Úverový výbor</w:t>
      </w:r>
    </w:p>
    <w:p w14:paraId="2437F06C" w14:textId="77777777" w:rsidR="00473B4B" w:rsidRPr="00F75987"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 Monitorovací výbor</w:t>
      </w:r>
    </w:p>
    <w:p w14:paraId="110F1782" w14:textId="77777777" w:rsidR="00473B4B" w:rsidRPr="00F75987"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 xml:space="preserve">• </w:t>
      </w:r>
      <w:proofErr w:type="spellStart"/>
      <w:r w:rsidRPr="00F75987">
        <w:rPr>
          <w:rFonts w:ascii="Arial" w:eastAsia="Times New Roman" w:hAnsi="Arial" w:cs="Arial"/>
          <w:color w:val="000000" w:themeColor="text1"/>
          <w:sz w:val="20"/>
          <w:szCs w:val="20"/>
        </w:rPr>
        <w:t>Workout</w:t>
      </w:r>
      <w:proofErr w:type="spellEnd"/>
      <w:r w:rsidRPr="00F75987">
        <w:rPr>
          <w:rFonts w:ascii="Arial" w:eastAsia="Times New Roman" w:hAnsi="Arial" w:cs="Arial"/>
          <w:color w:val="000000" w:themeColor="text1"/>
          <w:sz w:val="20"/>
          <w:szCs w:val="20"/>
        </w:rPr>
        <w:t xml:space="preserve"> výbor</w:t>
      </w:r>
    </w:p>
    <w:p w14:paraId="64151795" w14:textId="77777777" w:rsidR="00E94DBE" w:rsidRDefault="00473B4B" w:rsidP="00E94DBE">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w:t>
      </w:r>
      <w:r w:rsidR="00F75987" w:rsidRPr="00F75987">
        <w:rPr>
          <w:rFonts w:ascii="Arial" w:eastAsia="Times New Roman" w:hAnsi="Arial" w:cs="Arial"/>
          <w:color w:val="000000" w:themeColor="text1"/>
          <w:sz w:val="20"/>
          <w:szCs w:val="20"/>
        </w:rPr>
        <w:t xml:space="preserve"> Risk and </w:t>
      </w:r>
      <w:proofErr w:type="spellStart"/>
      <w:r w:rsidR="00F75987" w:rsidRPr="00F75987">
        <w:rPr>
          <w:rFonts w:ascii="Arial" w:eastAsia="Times New Roman" w:hAnsi="Arial" w:cs="Arial"/>
          <w:color w:val="000000" w:themeColor="text1"/>
          <w:sz w:val="20"/>
          <w:szCs w:val="20"/>
        </w:rPr>
        <w:t>Compliance</w:t>
      </w:r>
      <w:proofErr w:type="spellEnd"/>
      <w:r w:rsidR="00F75987" w:rsidRPr="00F75987">
        <w:rPr>
          <w:rFonts w:ascii="Arial" w:eastAsia="Times New Roman" w:hAnsi="Arial" w:cs="Arial"/>
          <w:color w:val="000000" w:themeColor="text1"/>
          <w:sz w:val="20"/>
          <w:szCs w:val="20"/>
        </w:rPr>
        <w:t xml:space="preserve"> </w:t>
      </w:r>
      <w:proofErr w:type="spellStart"/>
      <w:r w:rsidR="00F75987" w:rsidRPr="00F75987">
        <w:rPr>
          <w:rFonts w:ascii="Arial" w:eastAsia="Times New Roman" w:hAnsi="Arial" w:cs="Arial"/>
          <w:color w:val="000000" w:themeColor="text1"/>
          <w:sz w:val="20"/>
          <w:szCs w:val="20"/>
        </w:rPr>
        <w:t>Committee</w:t>
      </w:r>
      <w:proofErr w:type="spellEnd"/>
    </w:p>
    <w:p w14:paraId="4EC04EDB" w14:textId="04BBA1FB" w:rsidR="00E94DBE" w:rsidRPr="00E94DBE" w:rsidRDefault="00E94DBE" w:rsidP="00E94DBE">
      <w:pPr>
        <w:widowControl w:val="0"/>
        <w:adjustRightInd w:val="0"/>
        <w:spacing w:after="0" w:line="240" w:lineRule="auto"/>
        <w:ind w:firstLine="708"/>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w:t>
      </w:r>
      <w:proofErr w:type="spellStart"/>
      <w:r w:rsidRPr="00E94DBE">
        <w:rPr>
          <w:rFonts w:ascii="Arial" w:eastAsia="Times New Roman" w:hAnsi="Arial" w:cs="Arial"/>
          <w:color w:val="000000" w:themeColor="text1"/>
          <w:sz w:val="20"/>
          <w:szCs w:val="20"/>
        </w:rPr>
        <w:t>Operational</w:t>
      </w:r>
      <w:proofErr w:type="spellEnd"/>
      <w:r w:rsidRPr="00E94DBE">
        <w:rPr>
          <w:rFonts w:ascii="Arial" w:eastAsia="Times New Roman" w:hAnsi="Arial" w:cs="Arial"/>
          <w:color w:val="000000" w:themeColor="text1"/>
          <w:sz w:val="20"/>
          <w:szCs w:val="20"/>
        </w:rPr>
        <w:t xml:space="preserve"> Risk and Business </w:t>
      </w:r>
      <w:proofErr w:type="spellStart"/>
      <w:r w:rsidRPr="00E94DBE">
        <w:rPr>
          <w:rFonts w:ascii="Arial" w:eastAsia="Times New Roman" w:hAnsi="Arial" w:cs="Arial"/>
          <w:color w:val="000000" w:themeColor="text1"/>
          <w:sz w:val="20"/>
          <w:szCs w:val="20"/>
        </w:rPr>
        <w:t>Continuity</w:t>
      </w:r>
      <w:proofErr w:type="spellEnd"/>
      <w:r w:rsidRPr="00E94DBE">
        <w:rPr>
          <w:rFonts w:ascii="Arial" w:eastAsia="Times New Roman" w:hAnsi="Arial" w:cs="Arial"/>
          <w:color w:val="000000" w:themeColor="text1"/>
          <w:sz w:val="20"/>
          <w:szCs w:val="20"/>
        </w:rPr>
        <w:t xml:space="preserve"> </w:t>
      </w:r>
      <w:proofErr w:type="spellStart"/>
      <w:r w:rsidRPr="00E94DBE">
        <w:rPr>
          <w:rFonts w:ascii="Arial" w:eastAsia="Times New Roman" w:hAnsi="Arial" w:cs="Arial"/>
          <w:color w:val="000000" w:themeColor="text1"/>
          <w:sz w:val="20"/>
          <w:szCs w:val="20"/>
        </w:rPr>
        <w:t>Committee</w:t>
      </w:r>
      <w:proofErr w:type="spellEnd"/>
    </w:p>
    <w:p w14:paraId="70DF14C6" w14:textId="77777777" w:rsidR="00473B4B" w:rsidRPr="009A3D6A"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highlight w:val="red"/>
        </w:rPr>
      </w:pPr>
    </w:p>
    <w:p w14:paraId="392CD622" w14:textId="77777777" w:rsidR="00473B4B" w:rsidRPr="0001629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F75987">
        <w:rPr>
          <w:rFonts w:ascii="Arial" w:eastAsia="Times New Roman" w:hAnsi="Arial" w:cs="Arial"/>
          <w:color w:val="000000" w:themeColor="text1"/>
          <w:sz w:val="20"/>
          <w:szCs w:val="20"/>
        </w:rPr>
        <w:t>Predstavenstvo deleguje svoju kontrolu nad rizikami na uvedené riadiace výbory vo forme štatútov, v ktorých sú určení členovia riadiacich výborov, ako aj ich kompetencie a zodpovednosti.</w:t>
      </w:r>
    </w:p>
    <w:p w14:paraId="081FA6E7" w14:textId="77777777" w:rsidR="00473B4B" w:rsidRPr="0001629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p>
    <w:p w14:paraId="4152A982" w14:textId="77777777" w:rsidR="00473B4B" w:rsidRPr="00F75987" w:rsidRDefault="00473B4B" w:rsidP="00473B4B">
      <w:pPr>
        <w:spacing w:line="240" w:lineRule="auto"/>
        <w:ind w:left="567" w:hanging="567"/>
        <w:rPr>
          <w:rFonts w:ascii="Arial" w:hAnsi="Arial" w:cs="Arial"/>
          <w:color w:val="000000" w:themeColor="text1"/>
          <w:sz w:val="20"/>
          <w:szCs w:val="20"/>
        </w:rPr>
      </w:pPr>
      <w:r w:rsidRPr="00F75987">
        <w:rPr>
          <w:rFonts w:ascii="Arial" w:hAnsi="Arial" w:cs="Arial"/>
          <w:color w:val="000000" w:themeColor="text1"/>
          <w:sz w:val="20"/>
          <w:szCs w:val="20"/>
        </w:rPr>
        <w:t xml:space="preserve">c)   </w:t>
      </w:r>
      <w:r w:rsidRPr="00F75987">
        <w:rPr>
          <w:rFonts w:ascii="Arial" w:hAnsi="Arial" w:cs="Arial"/>
          <w:color w:val="000000" w:themeColor="text1"/>
          <w:sz w:val="20"/>
          <w:szCs w:val="20"/>
        </w:rPr>
        <w:tab/>
      </w:r>
      <w:r w:rsidRPr="00F75987">
        <w:rPr>
          <w:rFonts w:ascii="Arial" w:hAnsi="Arial" w:cs="Arial"/>
          <w:b/>
          <w:color w:val="000000" w:themeColor="text1"/>
          <w:sz w:val="20"/>
          <w:szCs w:val="20"/>
        </w:rPr>
        <w:t>Rozsah a charakter systémov vykazovania a merania jednotlivých rizík</w:t>
      </w:r>
    </w:p>
    <w:p w14:paraId="1B3DC5E8" w14:textId="77777777" w:rsidR="00473B4B" w:rsidRPr="00F75987" w:rsidRDefault="00473B4B" w:rsidP="00473B4B">
      <w:pPr>
        <w:ind w:left="567"/>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u w:val="single"/>
        </w:rPr>
        <w:t>Kreditné riziko</w:t>
      </w:r>
      <w:r w:rsidRPr="00F75987">
        <w:rPr>
          <w:rFonts w:ascii="Arial" w:hAnsi="Arial" w:cs="Arial"/>
          <w:bCs/>
          <w:color w:val="000000" w:themeColor="text1"/>
          <w:sz w:val="20"/>
          <w:szCs w:val="20"/>
        </w:rPr>
        <w:t xml:space="preserve"> má banka definované ako riziko straty vyplývajúce z toho, že dlžník alebo iná zmluvná strana nesplní svoje záväzky, ku ktorým sa zmluvne zaviazala včas a v plnom rozsahu, riziko, že vysporiadanie finančnej transakcie sa nerealizuje podľa dohodnutých podmienok. Takéto riziko vzniká hlavne z úverov klientom. </w:t>
      </w:r>
    </w:p>
    <w:p w14:paraId="2BDE1B6A" w14:textId="77777777" w:rsidR="00473B4B" w:rsidRPr="00F75987" w:rsidRDefault="00473B4B" w:rsidP="00473B4B">
      <w:pPr>
        <w:ind w:left="567"/>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Banka obmedzuje mieru kreditného rizika, ktoré na seba preberá, prostredníctvom stanovenia limitov rizika prijatého vo vzťahu k jednému dlžníkovi alebo k skupine dlžníkov a vo vzťahu k jednotlivým teritóriám a hospodárskym odvetviam ktoré priebežne monitoruje.</w:t>
      </w:r>
    </w:p>
    <w:p w14:paraId="02CE8BF3" w14:textId="77777777" w:rsidR="00473B4B" w:rsidRPr="00F75987" w:rsidRDefault="00473B4B" w:rsidP="00473B4B">
      <w:pPr>
        <w:spacing w:line="240" w:lineRule="auto"/>
        <w:ind w:left="567"/>
        <w:contextualSpacing/>
        <w:jc w:val="both"/>
        <w:rPr>
          <w:rFonts w:ascii="Arial" w:hAnsi="Arial" w:cs="Arial"/>
          <w:bCs/>
          <w:color w:val="000000" w:themeColor="text1"/>
          <w:sz w:val="20"/>
          <w:szCs w:val="20"/>
        </w:rPr>
      </w:pPr>
    </w:p>
    <w:p w14:paraId="48DBA5F8" w14:textId="77777777" w:rsidR="00473B4B" w:rsidRPr="00F75987" w:rsidRDefault="00473B4B" w:rsidP="00473B4B">
      <w:pPr>
        <w:ind w:left="567"/>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Banka rozhoduje o výške podstúpeného rizika voči dlžníkovi výlučne na základe analýzy schopnosti dlžníka splácať svoje pohľadávky. V čase schvaľovania/rozhodovania o prijatí úverovej angažovanosti banka používa nasledujúce techniky a postupy:</w:t>
      </w:r>
    </w:p>
    <w:p w14:paraId="2D7AF9E2" w14:textId="77777777" w:rsidR="00473B4B" w:rsidRPr="00F75987" w:rsidRDefault="00473B4B" w:rsidP="00473B4B">
      <w:pPr>
        <w:spacing w:line="240" w:lineRule="auto"/>
        <w:ind w:left="567"/>
        <w:contextualSpacing/>
        <w:jc w:val="both"/>
        <w:rPr>
          <w:rFonts w:ascii="Arial" w:hAnsi="Arial" w:cs="Arial"/>
          <w:bCs/>
          <w:color w:val="000000" w:themeColor="text1"/>
          <w:sz w:val="20"/>
          <w:szCs w:val="20"/>
        </w:rPr>
      </w:pPr>
    </w:p>
    <w:p w14:paraId="61D114F6" w14:textId="77777777" w:rsidR="00473B4B" w:rsidRPr="00F75987" w:rsidRDefault="00473B4B" w:rsidP="00473B4B">
      <w:pPr>
        <w:spacing w:after="0" w:line="240" w:lineRule="auto"/>
        <w:ind w:left="567"/>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 meranie pravdepodobnosti zlyhania klienta pri splácaní úveru, ktorá meria ochotu klienta  platiť,</w:t>
      </w:r>
    </w:p>
    <w:p w14:paraId="2D1E149C" w14:textId="77777777" w:rsidR="00473B4B" w:rsidRPr="00F75987" w:rsidRDefault="00473B4B" w:rsidP="00473B4B">
      <w:pPr>
        <w:spacing w:after="0" w:line="240" w:lineRule="auto"/>
        <w:ind w:left="709"/>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 xml:space="preserve">Toto meranie je implementované cez </w:t>
      </w:r>
      <w:proofErr w:type="spellStart"/>
      <w:r w:rsidRPr="00F75987">
        <w:rPr>
          <w:rFonts w:ascii="Arial" w:hAnsi="Arial" w:cs="Arial"/>
          <w:bCs/>
          <w:color w:val="000000" w:themeColor="text1"/>
          <w:sz w:val="20"/>
          <w:szCs w:val="20"/>
        </w:rPr>
        <w:t>scoringové</w:t>
      </w:r>
      <w:proofErr w:type="spellEnd"/>
      <w:r w:rsidRPr="00F75987">
        <w:rPr>
          <w:rFonts w:ascii="Arial" w:hAnsi="Arial" w:cs="Arial"/>
          <w:bCs/>
          <w:color w:val="000000" w:themeColor="text1"/>
          <w:sz w:val="20"/>
          <w:szCs w:val="20"/>
        </w:rPr>
        <w:t xml:space="preserve"> a ratingové modely.</w:t>
      </w:r>
    </w:p>
    <w:p w14:paraId="76096615" w14:textId="77777777" w:rsidR="00473B4B" w:rsidRPr="00F75987" w:rsidRDefault="00473B4B" w:rsidP="00473B4B">
      <w:pPr>
        <w:spacing w:after="0" w:line="240" w:lineRule="auto"/>
        <w:ind w:left="709" w:hanging="142"/>
        <w:jc w:val="both"/>
        <w:rPr>
          <w:rFonts w:ascii="Arial" w:hAnsi="Arial" w:cs="Arial"/>
          <w:bCs/>
          <w:color w:val="000000" w:themeColor="text1"/>
          <w:sz w:val="20"/>
          <w:szCs w:val="20"/>
        </w:rPr>
      </w:pPr>
      <w:r w:rsidRPr="00F75987">
        <w:rPr>
          <w:rFonts w:ascii="Arial" w:hAnsi="Arial" w:cs="Arial"/>
          <w:bCs/>
          <w:color w:val="000000" w:themeColor="text1"/>
          <w:sz w:val="20"/>
          <w:szCs w:val="20"/>
        </w:rPr>
        <w:t>• postupy na výpočet maximálnych limitov pre vybrané produkty, ktoré slúžia na určenie kapacity klienta splácať úver,</w:t>
      </w:r>
    </w:p>
    <w:p w14:paraId="619E236C" w14:textId="77777777" w:rsidR="00473B4B" w:rsidRPr="00F75987" w:rsidRDefault="00473B4B" w:rsidP="00473B4B">
      <w:pPr>
        <w:spacing w:after="0" w:line="240" w:lineRule="auto"/>
        <w:ind w:left="709" w:hanging="142"/>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 xml:space="preserve">• </w:t>
      </w:r>
      <w:r w:rsidRPr="00F75987">
        <w:rPr>
          <w:rFonts w:ascii="Arial" w:hAnsi="Arial" w:cs="Arial"/>
          <w:bCs/>
          <w:color w:val="000000" w:themeColor="text1"/>
          <w:sz w:val="20"/>
          <w:szCs w:val="20"/>
        </w:rPr>
        <w:tab/>
        <w:t>pravidlá a postupy definujúce želaný profil klientov a cieľové skupiny klientov pre jednotlivé produkty,</w:t>
      </w:r>
    </w:p>
    <w:p w14:paraId="0AC1C060" w14:textId="77777777" w:rsidR="00473B4B" w:rsidRPr="00F75987" w:rsidRDefault="00473B4B" w:rsidP="00473B4B">
      <w:pPr>
        <w:spacing w:after="0" w:line="240" w:lineRule="auto"/>
        <w:ind w:left="709" w:hanging="142"/>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 xml:space="preserve">• </w:t>
      </w:r>
      <w:r w:rsidRPr="00F75987">
        <w:rPr>
          <w:rFonts w:ascii="Arial" w:hAnsi="Arial" w:cs="Arial"/>
          <w:bCs/>
          <w:color w:val="000000" w:themeColor="text1"/>
          <w:sz w:val="20"/>
          <w:szCs w:val="20"/>
        </w:rPr>
        <w:tab/>
        <w:t>metódy a postupy preverovania informácií obsiahnutých v žiadostiach klientov (prevencia podvodov).</w:t>
      </w:r>
    </w:p>
    <w:p w14:paraId="45FDEA0F" w14:textId="77777777" w:rsidR="00473B4B" w:rsidRPr="00F75987" w:rsidRDefault="00473B4B" w:rsidP="00473B4B">
      <w:pPr>
        <w:spacing w:line="240" w:lineRule="auto"/>
        <w:ind w:left="567"/>
        <w:contextualSpacing/>
        <w:jc w:val="both"/>
        <w:rPr>
          <w:rFonts w:ascii="Arial" w:hAnsi="Arial" w:cs="Arial"/>
          <w:bCs/>
          <w:color w:val="000000" w:themeColor="text1"/>
          <w:sz w:val="20"/>
          <w:szCs w:val="20"/>
        </w:rPr>
      </w:pPr>
    </w:p>
    <w:p w14:paraId="39090A5B" w14:textId="77777777" w:rsidR="00473B4B" w:rsidRPr="00F75987" w:rsidRDefault="00473B4B" w:rsidP="00473B4B">
      <w:pPr>
        <w:ind w:left="567"/>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Pravidelný monitoring kvality portfólia existujúcich úverov a včasná reakcia na identifikované problémy sú takisto veľmi významnou zložkou, ktorá prispieva k udržaniu kvality celého portfólia a želanej miery rizikových nákladov banky.</w:t>
      </w:r>
    </w:p>
    <w:p w14:paraId="2ADF14C9" w14:textId="77777777" w:rsidR="00473B4B" w:rsidRPr="00F75987" w:rsidRDefault="00473B4B" w:rsidP="00473B4B">
      <w:pPr>
        <w:ind w:left="567"/>
        <w:contextualSpacing/>
        <w:jc w:val="both"/>
        <w:rPr>
          <w:rFonts w:ascii="Arial" w:hAnsi="Arial" w:cs="Arial"/>
          <w:bCs/>
          <w:color w:val="000000" w:themeColor="text1"/>
          <w:sz w:val="20"/>
          <w:szCs w:val="20"/>
        </w:rPr>
      </w:pPr>
    </w:p>
    <w:p w14:paraId="4B2D20AF" w14:textId="77777777" w:rsidR="00473B4B" w:rsidRPr="00F75987" w:rsidRDefault="00473B4B" w:rsidP="00473B4B">
      <w:pPr>
        <w:ind w:left="567"/>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Pri vymáhaní pohľadávok využíva banka v závislosti od typu a výšky pohľadávky diferencovanú škálu nástrojov a stratégií vymáhania s ohľadom na jeho efektívnosť. Na vymáhanie sa používajú interné, ale aj externé zdroje, t. j. externé spoločnosti špecializujúce sa na vymáhanie nesplácaných pohľadávok právnou cestou.</w:t>
      </w:r>
    </w:p>
    <w:p w14:paraId="1D4BC639" w14:textId="77777777" w:rsidR="00473B4B" w:rsidRPr="00F75987" w:rsidRDefault="00473B4B" w:rsidP="00473B4B">
      <w:pPr>
        <w:spacing w:line="240" w:lineRule="auto"/>
        <w:ind w:left="720"/>
        <w:contextualSpacing/>
        <w:rPr>
          <w:rFonts w:ascii="Arial" w:hAnsi="Arial" w:cs="Arial"/>
          <w:bCs/>
          <w:color w:val="000000" w:themeColor="text1"/>
          <w:sz w:val="20"/>
          <w:szCs w:val="20"/>
        </w:rPr>
      </w:pPr>
    </w:p>
    <w:p w14:paraId="7F003AB7" w14:textId="77777777" w:rsidR="00473B4B" w:rsidRPr="00604E86" w:rsidRDefault="00473B4B" w:rsidP="00473B4B">
      <w:pPr>
        <w:ind w:left="567"/>
        <w:contextualSpacing/>
        <w:jc w:val="both"/>
        <w:rPr>
          <w:rFonts w:ascii="Arial" w:hAnsi="Arial" w:cs="Arial"/>
          <w:bCs/>
          <w:color w:val="000000" w:themeColor="text1"/>
          <w:sz w:val="20"/>
          <w:szCs w:val="20"/>
        </w:rPr>
      </w:pPr>
      <w:r w:rsidRPr="00F75987">
        <w:rPr>
          <w:rFonts w:ascii="Arial" w:hAnsi="Arial" w:cs="Arial"/>
          <w:bCs/>
          <w:color w:val="000000" w:themeColor="text1"/>
          <w:sz w:val="20"/>
          <w:szCs w:val="20"/>
        </w:rPr>
        <w:t>Zmierňovanie kreditného rizika banka uskutočňuje formou zabezpečenia úverov. Banka má určené prijateľné a neprijateľné druhy zabezpečenia a výšku akceptovateľnej hodnoty pri jednotlivých druhoch zabezpečenia. V priebehu trvania úverového vzťahu je vykonávaný monitoring zabezpečenia a pravidelné prehodnocovanie jeho hodnoty.</w:t>
      </w:r>
    </w:p>
    <w:p w14:paraId="38C1F12D" w14:textId="77777777" w:rsidR="00A23642" w:rsidRPr="00E76FB7" w:rsidRDefault="00A23642" w:rsidP="00A23642">
      <w:pPr>
        <w:ind w:left="567"/>
        <w:contextualSpacing/>
        <w:jc w:val="both"/>
        <w:rPr>
          <w:rFonts w:ascii="Arial" w:hAnsi="Arial" w:cs="Arial"/>
          <w:color w:val="FFFF00"/>
          <w:sz w:val="20"/>
          <w:szCs w:val="20"/>
          <w:highlight w:val="darkGreen"/>
          <w:u w:val="single"/>
        </w:rPr>
      </w:pPr>
    </w:p>
    <w:p w14:paraId="6466FED6" w14:textId="77777777" w:rsidR="0057389A" w:rsidRPr="00A52043" w:rsidRDefault="00473B4B" w:rsidP="0057389A">
      <w:pPr>
        <w:autoSpaceDE w:val="0"/>
        <w:autoSpaceDN w:val="0"/>
        <w:adjustRightInd w:val="0"/>
        <w:ind w:left="567"/>
        <w:jc w:val="both"/>
        <w:rPr>
          <w:rFonts w:ascii="Arial" w:eastAsia="Times New Roman" w:hAnsi="Arial" w:cs="Arial"/>
          <w:sz w:val="20"/>
          <w:szCs w:val="20"/>
        </w:rPr>
      </w:pPr>
      <w:r w:rsidRPr="00A52043">
        <w:rPr>
          <w:rFonts w:ascii="Arial" w:hAnsi="Arial" w:cs="Arial"/>
          <w:color w:val="000000" w:themeColor="text1"/>
          <w:sz w:val="20"/>
          <w:szCs w:val="20"/>
          <w:u w:val="single"/>
        </w:rPr>
        <w:t>Riziko likvidity</w:t>
      </w:r>
      <w:r w:rsidRPr="00A52043">
        <w:rPr>
          <w:rFonts w:ascii="Arial" w:hAnsi="Arial" w:cs="Arial"/>
          <w:color w:val="000000" w:themeColor="text1"/>
          <w:sz w:val="20"/>
          <w:szCs w:val="20"/>
        </w:rPr>
        <w:t xml:space="preserve"> </w:t>
      </w:r>
      <w:r w:rsidR="0057389A" w:rsidRPr="00A52043">
        <w:rPr>
          <w:rFonts w:ascii="Arial" w:eastAsia="Times New Roman" w:hAnsi="Arial" w:cs="Arial"/>
          <w:sz w:val="20"/>
          <w:szCs w:val="20"/>
        </w:rPr>
        <w:t xml:space="preserve">predstavuje riziko, že banka nebude schopná splniť svoje splatné záväzky včas a v plnej výške. </w:t>
      </w:r>
    </w:p>
    <w:p w14:paraId="5E4B5180" w14:textId="77777777" w:rsidR="0057389A" w:rsidRPr="00A52043" w:rsidRDefault="0057389A" w:rsidP="0057389A">
      <w:pPr>
        <w:spacing w:after="0" w:line="240" w:lineRule="auto"/>
        <w:ind w:left="567"/>
        <w:jc w:val="both"/>
        <w:rPr>
          <w:rFonts w:ascii="Arial" w:eastAsia="Times New Roman" w:hAnsi="Arial" w:cs="Arial"/>
          <w:sz w:val="20"/>
          <w:szCs w:val="20"/>
        </w:rPr>
      </w:pPr>
      <w:r w:rsidRPr="00A52043">
        <w:rPr>
          <w:rFonts w:ascii="Arial" w:eastAsia="Times New Roman" w:hAnsi="Arial" w:cs="Arial"/>
          <w:sz w:val="20"/>
          <w:szCs w:val="20"/>
        </w:rPr>
        <w:t xml:space="preserve">Banka likviditu monitoruje na základe predpokladaného prílevu a odlivu peňažných prostriedkov a riadi na základe budovania portfólia </w:t>
      </w:r>
      <w:proofErr w:type="spellStart"/>
      <w:r w:rsidRPr="00A52043">
        <w:rPr>
          <w:rFonts w:ascii="Arial" w:eastAsia="Times New Roman" w:hAnsi="Arial" w:cs="Arial"/>
          <w:sz w:val="20"/>
          <w:szCs w:val="20"/>
        </w:rPr>
        <w:t>vysokolikvidných</w:t>
      </w:r>
      <w:proofErr w:type="spellEnd"/>
      <w:r w:rsidRPr="00A52043">
        <w:rPr>
          <w:rFonts w:ascii="Arial" w:eastAsia="Times New Roman" w:hAnsi="Arial" w:cs="Arial"/>
          <w:sz w:val="20"/>
          <w:szCs w:val="20"/>
        </w:rPr>
        <w:t xml:space="preserve"> aktív. </w:t>
      </w:r>
    </w:p>
    <w:p w14:paraId="4AD0B149" w14:textId="77777777" w:rsidR="0057389A" w:rsidRPr="00A52043" w:rsidRDefault="0057389A" w:rsidP="0057389A">
      <w:pPr>
        <w:spacing w:after="0" w:line="240" w:lineRule="auto"/>
        <w:ind w:left="567"/>
        <w:jc w:val="both"/>
        <w:rPr>
          <w:rFonts w:ascii="Arial" w:eastAsia="Times New Roman" w:hAnsi="Arial" w:cs="Arial"/>
          <w:sz w:val="20"/>
          <w:szCs w:val="20"/>
        </w:rPr>
      </w:pPr>
    </w:p>
    <w:p w14:paraId="432E11E4" w14:textId="77777777" w:rsidR="0057389A" w:rsidRPr="00A52043" w:rsidRDefault="0057389A" w:rsidP="0057389A">
      <w:pPr>
        <w:ind w:left="567"/>
        <w:jc w:val="both"/>
        <w:rPr>
          <w:rFonts w:ascii="Arial" w:eastAsia="Times New Roman" w:hAnsi="Arial" w:cs="Arial"/>
          <w:sz w:val="20"/>
          <w:szCs w:val="20"/>
        </w:rPr>
      </w:pPr>
      <w:r w:rsidRPr="00A52043">
        <w:rPr>
          <w:rFonts w:ascii="Arial" w:eastAsia="Times New Roman" w:hAnsi="Arial" w:cs="Arial"/>
          <w:sz w:val="20"/>
          <w:szCs w:val="20"/>
        </w:rPr>
        <w:t xml:space="preserve">Na účely merania a sledovania rizika likvidity má banka stanovené legislatívne a interné ukazovatele likvidity. Z hľadiska plnenia krátkodobej likvidity je dôležitý predovšetkým ukazovateľ „Liquidity </w:t>
      </w:r>
      <w:proofErr w:type="spellStart"/>
      <w:r w:rsidRPr="00A52043">
        <w:rPr>
          <w:rFonts w:ascii="Arial" w:eastAsia="Times New Roman" w:hAnsi="Arial" w:cs="Arial"/>
          <w:sz w:val="20"/>
          <w:szCs w:val="20"/>
        </w:rPr>
        <w:t>Coverage</w:t>
      </w:r>
      <w:proofErr w:type="spellEnd"/>
      <w:r w:rsidRPr="00A52043">
        <w:rPr>
          <w:rFonts w:ascii="Arial" w:eastAsia="Times New Roman" w:hAnsi="Arial" w:cs="Arial"/>
          <w:sz w:val="20"/>
          <w:szCs w:val="20"/>
        </w:rPr>
        <w:t xml:space="preserve"> </w:t>
      </w:r>
      <w:proofErr w:type="spellStart"/>
      <w:r w:rsidRPr="00A52043">
        <w:rPr>
          <w:rFonts w:ascii="Arial" w:eastAsia="Times New Roman" w:hAnsi="Arial" w:cs="Arial"/>
          <w:sz w:val="20"/>
          <w:szCs w:val="20"/>
        </w:rPr>
        <w:t>Ratio</w:t>
      </w:r>
      <w:proofErr w:type="spellEnd"/>
      <w:r w:rsidRPr="00A52043">
        <w:rPr>
          <w:rFonts w:ascii="Arial" w:eastAsia="Times New Roman" w:hAnsi="Arial" w:cs="Arial"/>
          <w:sz w:val="20"/>
          <w:szCs w:val="20"/>
        </w:rPr>
        <w:t>“ (LCR</w:t>
      </w:r>
      <w:r w:rsidRPr="00A52043">
        <w:rPr>
          <w:rFonts w:ascii="Arial" w:eastAsia="Times New Roman" w:hAnsi="Arial" w:cs="Arial"/>
          <w:sz w:val="20"/>
          <w:szCs w:val="20"/>
          <w:lang w:val="en-US"/>
        </w:rPr>
        <w:t>)</w:t>
      </w:r>
      <w:r w:rsidRPr="00A52043">
        <w:rPr>
          <w:rFonts w:ascii="Arial" w:eastAsia="Times New Roman" w:hAnsi="Arial" w:cs="Arial"/>
          <w:sz w:val="20"/>
          <w:szCs w:val="20"/>
        </w:rPr>
        <w:t xml:space="preserve">, definovaný Nariadením (EU) č. 575/2013, ktoré dopĺňa </w:t>
      </w:r>
      <w:proofErr w:type="spellStart"/>
      <w:r w:rsidRPr="00A52043">
        <w:rPr>
          <w:rFonts w:ascii="Arial" w:eastAsia="Times New Roman" w:hAnsi="Arial" w:cs="Arial"/>
          <w:sz w:val="20"/>
          <w:szCs w:val="20"/>
        </w:rPr>
        <w:t>Delegated</w:t>
      </w:r>
      <w:proofErr w:type="spellEnd"/>
      <w:r w:rsidRPr="00A52043">
        <w:rPr>
          <w:rFonts w:ascii="Arial" w:eastAsia="Times New Roman" w:hAnsi="Arial" w:cs="Arial"/>
          <w:sz w:val="20"/>
          <w:szCs w:val="20"/>
        </w:rPr>
        <w:t xml:space="preserve"> </w:t>
      </w:r>
      <w:proofErr w:type="spellStart"/>
      <w:r w:rsidRPr="00A52043">
        <w:rPr>
          <w:rFonts w:ascii="Arial" w:eastAsia="Times New Roman" w:hAnsi="Arial" w:cs="Arial"/>
          <w:sz w:val="20"/>
          <w:szCs w:val="20"/>
        </w:rPr>
        <w:t>Act</w:t>
      </w:r>
      <w:proofErr w:type="spellEnd"/>
      <w:r w:rsidRPr="00A52043">
        <w:rPr>
          <w:rFonts w:ascii="Arial" w:eastAsia="Times New Roman" w:hAnsi="Arial" w:cs="Arial"/>
          <w:sz w:val="20"/>
          <w:szCs w:val="20"/>
        </w:rPr>
        <w:t xml:space="preserve"> (EU) 2015/61. Ukazovateľ je definovaný ako pomer vankúša likvidných aktív úverovej inštitúcie k jej čistým záporným tokom likvidity za stresové obdobie 30 kalendárnych dní. Čisté záporné toky likvidity sa vypočítajú odpočítaním kladných tokov likvidity úverovej inštitúcie od jej záporných tokov likvidity.</w:t>
      </w:r>
    </w:p>
    <w:p w14:paraId="59711F89" w14:textId="474F4AF9" w:rsidR="0057389A" w:rsidRPr="00A52043" w:rsidRDefault="0057389A" w:rsidP="0057389A">
      <w:pPr>
        <w:ind w:left="567"/>
        <w:jc w:val="both"/>
        <w:rPr>
          <w:rFonts w:ascii="Arial" w:eastAsia="Times New Roman" w:hAnsi="Arial" w:cs="Arial"/>
          <w:sz w:val="20"/>
          <w:szCs w:val="20"/>
        </w:rPr>
      </w:pPr>
      <w:r w:rsidRPr="005B3E4E">
        <w:rPr>
          <w:rFonts w:ascii="Arial" w:eastAsia="Times New Roman" w:hAnsi="Arial" w:cs="Arial"/>
          <w:sz w:val="20"/>
          <w:szCs w:val="20"/>
        </w:rPr>
        <w:t>Hodnota LCR sa vykazuje ako percentuálny podiel</w:t>
      </w:r>
      <w:r w:rsidR="005B3E4E" w:rsidRPr="005B3E4E">
        <w:rPr>
          <w:rFonts w:ascii="Arial" w:eastAsia="Times New Roman" w:hAnsi="Arial" w:cs="Arial"/>
          <w:sz w:val="20"/>
          <w:szCs w:val="20"/>
        </w:rPr>
        <w:t xml:space="preserve">, ktorý </w:t>
      </w:r>
      <w:r w:rsidRPr="005B3E4E">
        <w:rPr>
          <w:rFonts w:ascii="Arial" w:eastAsia="Times New Roman" w:hAnsi="Arial" w:cs="Arial"/>
          <w:sz w:val="20"/>
          <w:szCs w:val="20"/>
        </w:rPr>
        <w:t>by ne</w:t>
      </w:r>
      <w:r w:rsidR="005B3E4E" w:rsidRPr="005B3E4E">
        <w:rPr>
          <w:rFonts w:ascii="Arial" w:eastAsia="Times New Roman" w:hAnsi="Arial" w:cs="Arial"/>
          <w:sz w:val="20"/>
          <w:szCs w:val="20"/>
        </w:rPr>
        <w:t>mal</w:t>
      </w:r>
      <w:r w:rsidRPr="005B3E4E">
        <w:rPr>
          <w:rFonts w:ascii="Arial" w:eastAsia="Times New Roman" w:hAnsi="Arial" w:cs="Arial"/>
          <w:sz w:val="20"/>
          <w:szCs w:val="20"/>
        </w:rPr>
        <w:t xml:space="preserve"> klesnúť pod 100%, čo znamená,</w:t>
      </w:r>
      <w:r w:rsidRPr="00A52043">
        <w:rPr>
          <w:rFonts w:ascii="Arial" w:eastAsia="Times New Roman" w:hAnsi="Arial" w:cs="Arial"/>
          <w:sz w:val="20"/>
          <w:szCs w:val="20"/>
        </w:rPr>
        <w:t xml:space="preserve"> že úverová inštitúcia má v držbe dostatok likvidných aktív na pokrytie svojich čistých záporných tokov likvidity počas 30-dňového stresového obdobia.</w:t>
      </w:r>
    </w:p>
    <w:p w14:paraId="63D39E17" w14:textId="77777777" w:rsidR="0057389A" w:rsidRPr="00A52043" w:rsidRDefault="0057389A" w:rsidP="0057389A">
      <w:pPr>
        <w:spacing w:line="240" w:lineRule="auto"/>
        <w:ind w:left="567"/>
        <w:jc w:val="both"/>
        <w:rPr>
          <w:rFonts w:ascii="Arial" w:eastAsia="Times New Roman" w:hAnsi="Arial" w:cs="Arial"/>
          <w:sz w:val="20"/>
          <w:szCs w:val="20"/>
        </w:rPr>
      </w:pPr>
      <w:r w:rsidRPr="00A52043">
        <w:rPr>
          <w:rFonts w:ascii="Arial" w:eastAsia="Times New Roman" w:hAnsi="Arial" w:cs="Arial"/>
          <w:sz w:val="20"/>
          <w:szCs w:val="20"/>
        </w:rPr>
        <w:t xml:space="preserve">Banka má pre LCR stanovený </w:t>
      </w:r>
      <w:proofErr w:type="spellStart"/>
      <w:r w:rsidRPr="00A52043">
        <w:rPr>
          <w:rFonts w:ascii="Arial" w:eastAsia="Times New Roman" w:hAnsi="Arial" w:cs="Arial"/>
          <w:sz w:val="20"/>
          <w:szCs w:val="20"/>
        </w:rPr>
        <w:t>early</w:t>
      </w:r>
      <w:proofErr w:type="spellEnd"/>
      <w:r w:rsidRPr="00A52043">
        <w:rPr>
          <w:rFonts w:ascii="Arial" w:eastAsia="Times New Roman" w:hAnsi="Arial" w:cs="Arial"/>
          <w:sz w:val="20"/>
          <w:szCs w:val="20"/>
        </w:rPr>
        <w:t xml:space="preserve"> </w:t>
      </w:r>
      <w:proofErr w:type="spellStart"/>
      <w:r w:rsidRPr="00A52043">
        <w:rPr>
          <w:rFonts w:ascii="Arial" w:eastAsia="Times New Roman" w:hAnsi="Arial" w:cs="Arial"/>
          <w:sz w:val="20"/>
          <w:szCs w:val="20"/>
        </w:rPr>
        <w:t>warning</w:t>
      </w:r>
      <w:proofErr w:type="spellEnd"/>
      <w:r w:rsidRPr="00A52043">
        <w:rPr>
          <w:rFonts w:ascii="Arial" w:eastAsia="Times New Roman" w:hAnsi="Arial" w:cs="Arial"/>
          <w:sz w:val="20"/>
          <w:szCs w:val="20"/>
        </w:rPr>
        <w:t xml:space="preserve"> limit (ďalej len „EWL“), vo výške 120%.  </w:t>
      </w:r>
    </w:p>
    <w:p w14:paraId="4864B198" w14:textId="1FCFD15E" w:rsidR="0057389A" w:rsidRPr="00A52043" w:rsidRDefault="0057389A" w:rsidP="0057389A">
      <w:pPr>
        <w:ind w:left="567"/>
        <w:jc w:val="both"/>
        <w:rPr>
          <w:rFonts w:ascii="Arial" w:eastAsia="Times New Roman" w:hAnsi="Arial" w:cs="Arial"/>
          <w:sz w:val="20"/>
          <w:szCs w:val="20"/>
        </w:rPr>
      </w:pPr>
      <w:r w:rsidRPr="00A52043">
        <w:rPr>
          <w:rFonts w:ascii="Arial" w:eastAsia="Times New Roman" w:hAnsi="Arial" w:cs="Arial"/>
          <w:sz w:val="20"/>
          <w:szCs w:val="20"/>
        </w:rPr>
        <w:t xml:space="preserve">Z hľadiska plnenia dlhodobej likvidity je počítaný ukazovateľ „Net </w:t>
      </w:r>
      <w:proofErr w:type="spellStart"/>
      <w:r w:rsidRPr="00A52043">
        <w:rPr>
          <w:rFonts w:ascii="Arial" w:eastAsia="Times New Roman" w:hAnsi="Arial" w:cs="Arial"/>
          <w:sz w:val="20"/>
          <w:szCs w:val="20"/>
        </w:rPr>
        <w:t>Stable</w:t>
      </w:r>
      <w:proofErr w:type="spellEnd"/>
      <w:r w:rsidRPr="00A52043">
        <w:rPr>
          <w:rFonts w:ascii="Arial" w:eastAsia="Times New Roman" w:hAnsi="Arial" w:cs="Arial"/>
          <w:sz w:val="20"/>
          <w:szCs w:val="20"/>
        </w:rPr>
        <w:t xml:space="preserve"> </w:t>
      </w:r>
      <w:proofErr w:type="spellStart"/>
      <w:r w:rsidRPr="00A52043">
        <w:rPr>
          <w:rFonts w:ascii="Arial" w:eastAsia="Times New Roman" w:hAnsi="Arial" w:cs="Arial"/>
          <w:sz w:val="20"/>
          <w:szCs w:val="20"/>
        </w:rPr>
        <w:t>Funding</w:t>
      </w:r>
      <w:proofErr w:type="spellEnd"/>
      <w:r w:rsidRPr="00A52043">
        <w:rPr>
          <w:rFonts w:ascii="Arial" w:eastAsia="Times New Roman" w:hAnsi="Arial" w:cs="Arial"/>
          <w:sz w:val="20"/>
          <w:szCs w:val="20"/>
        </w:rPr>
        <w:t xml:space="preserve"> </w:t>
      </w:r>
      <w:proofErr w:type="spellStart"/>
      <w:r w:rsidRPr="00A52043">
        <w:rPr>
          <w:rFonts w:ascii="Arial" w:eastAsia="Times New Roman" w:hAnsi="Arial" w:cs="Arial"/>
          <w:sz w:val="20"/>
          <w:szCs w:val="20"/>
        </w:rPr>
        <w:t>Ratio</w:t>
      </w:r>
      <w:proofErr w:type="spellEnd"/>
      <w:r w:rsidRPr="00A52043">
        <w:rPr>
          <w:rFonts w:ascii="Arial" w:eastAsia="Times New Roman" w:hAnsi="Arial" w:cs="Arial"/>
          <w:sz w:val="20"/>
          <w:szCs w:val="20"/>
        </w:rPr>
        <w:t xml:space="preserve">“ NSFR. Ukazovateľ je definovaný ako podiel dostupných (použiteľných) zdrojov financovania (ASF) k požadovanému financovaniu (RSF). </w:t>
      </w:r>
    </w:p>
    <w:p w14:paraId="59FDFADF" w14:textId="77777777" w:rsidR="0057389A" w:rsidRPr="00A52043" w:rsidRDefault="0057389A" w:rsidP="0057389A">
      <w:pPr>
        <w:spacing w:after="0" w:line="240" w:lineRule="auto"/>
        <w:ind w:left="567"/>
        <w:jc w:val="both"/>
        <w:rPr>
          <w:rFonts w:ascii="Arial" w:eastAsia="Times New Roman" w:hAnsi="Arial" w:cs="Arial"/>
          <w:sz w:val="20"/>
          <w:szCs w:val="20"/>
        </w:rPr>
      </w:pPr>
      <w:r w:rsidRPr="00A52043">
        <w:rPr>
          <w:rFonts w:ascii="Arial" w:eastAsia="Times New Roman" w:hAnsi="Arial" w:cs="Arial"/>
          <w:sz w:val="20"/>
          <w:szCs w:val="20"/>
        </w:rPr>
        <w:t>Hodnota NSFR nesmie taktiež klesnúť pod hodnotu 100% (1,0). Pre ukazovateľ je stanovený EWL vo výške 110%.</w:t>
      </w:r>
    </w:p>
    <w:p w14:paraId="7F8E1101" w14:textId="32C0B66F" w:rsidR="0057389A" w:rsidRPr="00A52043" w:rsidRDefault="0057389A" w:rsidP="0057389A">
      <w:pPr>
        <w:ind w:left="567"/>
        <w:jc w:val="both"/>
        <w:rPr>
          <w:rFonts w:ascii="Arial" w:eastAsia="Times New Roman" w:hAnsi="Arial" w:cs="Arial"/>
          <w:sz w:val="20"/>
          <w:szCs w:val="20"/>
        </w:rPr>
      </w:pPr>
      <w:r w:rsidRPr="00A52043">
        <w:rPr>
          <w:rFonts w:ascii="Arial" w:eastAsia="Times New Roman" w:hAnsi="Arial" w:cs="Arial"/>
          <w:sz w:val="20"/>
          <w:szCs w:val="20"/>
        </w:rPr>
        <w:t>OTP Banka pln</w:t>
      </w:r>
      <w:r w:rsidR="00A52043" w:rsidRPr="00A52043">
        <w:rPr>
          <w:rFonts w:ascii="Arial" w:eastAsia="Times New Roman" w:hAnsi="Arial" w:cs="Arial"/>
          <w:sz w:val="20"/>
          <w:szCs w:val="20"/>
        </w:rPr>
        <w:t>í</w:t>
      </w:r>
      <w:r w:rsidRPr="00A52043">
        <w:rPr>
          <w:rFonts w:ascii="Arial" w:eastAsia="Times New Roman" w:hAnsi="Arial" w:cs="Arial"/>
          <w:sz w:val="20"/>
          <w:szCs w:val="20"/>
        </w:rPr>
        <w:t xml:space="preserve"> stanovené limity s dostatočnou rezervou.</w:t>
      </w:r>
    </w:p>
    <w:p w14:paraId="082F44F5" w14:textId="77777777" w:rsidR="0057389A" w:rsidRPr="00A52043" w:rsidRDefault="0057389A" w:rsidP="0057389A">
      <w:pPr>
        <w:ind w:left="567"/>
        <w:jc w:val="both"/>
        <w:rPr>
          <w:rFonts w:ascii="Arial" w:eastAsia="Times New Roman" w:hAnsi="Arial" w:cs="Arial"/>
          <w:sz w:val="20"/>
          <w:szCs w:val="20"/>
        </w:rPr>
      </w:pPr>
      <w:r w:rsidRPr="00A52043">
        <w:rPr>
          <w:rFonts w:ascii="Arial" w:eastAsia="Times New Roman" w:hAnsi="Arial" w:cs="Arial"/>
          <w:sz w:val="20"/>
          <w:szCs w:val="20"/>
        </w:rPr>
        <w:t>Banka zároveň sleduje na dennej báze likviditnú pozíciu banky do 1 mesiaca a do 3 mesiacov (primárna a operatívna likvidita).</w:t>
      </w:r>
    </w:p>
    <w:p w14:paraId="18752C92" w14:textId="77777777" w:rsidR="0057389A" w:rsidRPr="00A52043" w:rsidRDefault="0057389A" w:rsidP="0057389A">
      <w:pPr>
        <w:ind w:left="567"/>
        <w:jc w:val="both"/>
        <w:rPr>
          <w:rFonts w:ascii="Arial" w:eastAsia="Times New Roman" w:hAnsi="Arial" w:cs="Arial"/>
          <w:sz w:val="20"/>
          <w:szCs w:val="20"/>
        </w:rPr>
      </w:pPr>
      <w:r w:rsidRPr="00A52043">
        <w:rPr>
          <w:rFonts w:ascii="Arial" w:eastAsia="Times New Roman" w:hAnsi="Arial" w:cs="Arial"/>
          <w:sz w:val="20"/>
          <w:szCs w:val="20"/>
        </w:rPr>
        <w:t>Na mesačnej báze sú počítané štyri scenáre likvidity – základný scenár a 3 stresové scenáre.</w:t>
      </w:r>
    </w:p>
    <w:p w14:paraId="27405D13" w14:textId="6058E970" w:rsidR="00473B4B" w:rsidRPr="00A52043" w:rsidRDefault="0057389A" w:rsidP="0057389A">
      <w:pPr>
        <w:ind w:left="567"/>
        <w:contextualSpacing/>
        <w:jc w:val="both"/>
        <w:rPr>
          <w:rFonts w:ascii="Arial" w:hAnsi="Arial" w:cs="Arial"/>
          <w:color w:val="000000" w:themeColor="text1"/>
          <w:sz w:val="20"/>
          <w:szCs w:val="20"/>
        </w:rPr>
      </w:pPr>
      <w:r w:rsidRPr="00A52043">
        <w:rPr>
          <w:rFonts w:ascii="Arial" w:eastAsia="Times New Roman" w:hAnsi="Arial" w:cs="Arial"/>
          <w:sz w:val="20"/>
          <w:szCs w:val="20"/>
        </w:rPr>
        <w:t>Banka má vypracovaný aj pohotovostných plán financovania, ktorý je súčasťou procesu riadenia rizika likvidity a poskytuje rámec pre riadenie banky v prípade prerušenia schopnosti financovať niektoré resp. všetky aktivity v čase a za primeranú cenu.</w:t>
      </w:r>
      <w:r w:rsidR="00473B4B" w:rsidRPr="00A52043">
        <w:rPr>
          <w:rFonts w:ascii="Arial" w:hAnsi="Arial" w:cs="Arial"/>
          <w:color w:val="000000" w:themeColor="text1"/>
          <w:sz w:val="20"/>
          <w:szCs w:val="20"/>
        </w:rPr>
        <w:t xml:space="preserve"> </w:t>
      </w:r>
    </w:p>
    <w:p w14:paraId="6B3F6DA7" w14:textId="77777777" w:rsidR="00473B4B" w:rsidRPr="009A3D6A" w:rsidRDefault="00473B4B" w:rsidP="00473B4B">
      <w:pPr>
        <w:widowControl w:val="0"/>
        <w:adjustRightInd w:val="0"/>
        <w:spacing w:after="0"/>
        <w:ind w:left="567"/>
        <w:jc w:val="both"/>
        <w:textAlignment w:val="baseline"/>
        <w:rPr>
          <w:rFonts w:ascii="Arial" w:eastAsia="Times New Roman" w:hAnsi="Arial" w:cs="Arial"/>
          <w:color w:val="000000" w:themeColor="text1"/>
          <w:sz w:val="20"/>
          <w:szCs w:val="20"/>
          <w:highlight w:val="lightGray"/>
          <w:u w:val="single"/>
          <w:lang w:eastAsia="en-US"/>
        </w:rPr>
      </w:pPr>
    </w:p>
    <w:p w14:paraId="7B5E9201" w14:textId="77777777" w:rsidR="00473B4B" w:rsidRPr="00A52043" w:rsidRDefault="00473B4B" w:rsidP="00473B4B">
      <w:pPr>
        <w:widowControl w:val="0"/>
        <w:adjustRightInd w:val="0"/>
        <w:spacing w:after="0"/>
        <w:ind w:left="567"/>
        <w:jc w:val="both"/>
        <w:textAlignment w:val="baseline"/>
        <w:rPr>
          <w:rFonts w:ascii="Arial" w:eastAsia="Times New Roman" w:hAnsi="Arial" w:cs="Arial"/>
          <w:bCs/>
          <w:color w:val="000000" w:themeColor="text1"/>
          <w:sz w:val="20"/>
          <w:szCs w:val="20"/>
          <w:lang w:eastAsia="en-US"/>
        </w:rPr>
      </w:pPr>
      <w:r w:rsidRPr="00A52043">
        <w:rPr>
          <w:rFonts w:ascii="Arial" w:eastAsia="Times New Roman" w:hAnsi="Arial" w:cs="Arial"/>
          <w:color w:val="000000" w:themeColor="text1"/>
          <w:sz w:val="20"/>
          <w:szCs w:val="20"/>
          <w:u w:val="single"/>
          <w:lang w:eastAsia="en-US"/>
        </w:rPr>
        <w:t>Trhovým rizikom</w:t>
      </w:r>
      <w:r w:rsidRPr="00A52043">
        <w:rPr>
          <w:rFonts w:ascii="Arial" w:eastAsia="Times New Roman" w:hAnsi="Arial" w:cs="Arial"/>
          <w:bCs/>
          <w:color w:val="000000" w:themeColor="text1"/>
          <w:sz w:val="20"/>
          <w:szCs w:val="20"/>
          <w:lang w:eastAsia="en-US"/>
        </w:rPr>
        <w:t xml:space="preserve"> je riziko finančnej straty, ktorú banka utrpí v dôsledku zmien v trhových podmienkach v kombinácii s pozíciami banky. Banka neplánuje otváranie akciových a komoditných pozícií v krátkodobom ani strednodobom horizonte. Vzhľadom na túto skutočnosť sa pod trhovým rizikom rozumie riziko zmien úrokových sadzieb a riziko zmien devízových kurzov.</w:t>
      </w:r>
    </w:p>
    <w:p w14:paraId="761437C1" w14:textId="77777777" w:rsidR="00473B4B" w:rsidRPr="00A52043" w:rsidRDefault="00473B4B" w:rsidP="00473B4B">
      <w:pPr>
        <w:widowControl w:val="0"/>
        <w:adjustRightInd w:val="0"/>
        <w:spacing w:after="0" w:line="240" w:lineRule="auto"/>
        <w:ind w:left="567"/>
        <w:jc w:val="center"/>
        <w:textAlignment w:val="baseline"/>
        <w:rPr>
          <w:rFonts w:ascii="Arial" w:eastAsia="Times New Roman" w:hAnsi="Arial" w:cs="Arial"/>
          <w:bCs/>
          <w:color w:val="000000" w:themeColor="text1"/>
          <w:sz w:val="20"/>
          <w:szCs w:val="20"/>
          <w:lang w:eastAsia="en-US"/>
        </w:rPr>
      </w:pPr>
    </w:p>
    <w:p w14:paraId="70CF3874" w14:textId="742D3580" w:rsidR="0057389A" w:rsidRPr="00A52043"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A52043">
        <w:rPr>
          <w:rFonts w:ascii="Arial" w:eastAsia="Times New Roman" w:hAnsi="Arial" w:cs="Arial"/>
          <w:sz w:val="20"/>
          <w:szCs w:val="20"/>
        </w:rPr>
        <w:t>Cieľom pri riadení trhového rizika je obmedziť hodnotu jeho jednotlivých zložiek v rámci stanovených limitov schválených predstavens</w:t>
      </w:r>
      <w:r w:rsidR="00D51F9C" w:rsidRPr="00A52043">
        <w:rPr>
          <w:rFonts w:ascii="Arial" w:eastAsia="Times New Roman" w:hAnsi="Arial" w:cs="Arial"/>
          <w:sz w:val="20"/>
          <w:szCs w:val="20"/>
        </w:rPr>
        <w:t>t</w:t>
      </w:r>
      <w:r w:rsidRPr="00A52043">
        <w:rPr>
          <w:rFonts w:ascii="Arial" w:eastAsia="Times New Roman" w:hAnsi="Arial" w:cs="Arial"/>
          <w:sz w:val="20"/>
          <w:szCs w:val="20"/>
        </w:rPr>
        <w:t xml:space="preserve">vom. Limity určujú maximálnu možnú akceptovateľnú mieru rizika. </w:t>
      </w:r>
    </w:p>
    <w:p w14:paraId="58B5BFBD" w14:textId="77777777" w:rsidR="0057389A" w:rsidRPr="00A52043"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A52043">
        <w:rPr>
          <w:rFonts w:ascii="Arial" w:eastAsia="Times New Roman" w:hAnsi="Arial" w:cs="Arial"/>
          <w:sz w:val="20"/>
          <w:szCs w:val="20"/>
        </w:rPr>
        <w:t>Takto definovanými hodnotami limitov banka číselne vymedzí maximálnu stratu, ktorá vyplynie z jej pozícií, pri súčasnej nepriaznivej zmene trhových podmienok pôsobiacich v neprospech pozícií.</w:t>
      </w:r>
    </w:p>
    <w:p w14:paraId="4F898A67" w14:textId="77777777" w:rsidR="0057389A" w:rsidRPr="00A52043"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p>
    <w:p w14:paraId="6A8F7BF7" w14:textId="77777777" w:rsidR="0057389A" w:rsidRPr="00A52043"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A52043">
        <w:rPr>
          <w:rFonts w:ascii="Arial" w:eastAsia="Times New Roman" w:hAnsi="Arial" w:cs="Arial"/>
          <w:sz w:val="20"/>
          <w:szCs w:val="20"/>
        </w:rPr>
        <w:t xml:space="preserve">Finančné nástroje je možné zaradiť do obchodného portfólia (obchodná kniha) alebo do neobchodného portfólia (banková kniha) v závislosti od účelu nadobudnutia finančných nástrojov. </w:t>
      </w:r>
    </w:p>
    <w:p w14:paraId="1D9397D0" w14:textId="77777777" w:rsidR="0057389A" w:rsidRPr="00A52043"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p>
    <w:p w14:paraId="4233BB50" w14:textId="77777777" w:rsidR="0057389A" w:rsidRPr="00A52043"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A52043">
        <w:rPr>
          <w:rFonts w:ascii="Arial" w:eastAsia="Times New Roman" w:hAnsi="Arial" w:cs="Arial"/>
          <w:sz w:val="20"/>
          <w:szCs w:val="20"/>
        </w:rPr>
        <w:t xml:space="preserve">Do obchodnej knihy sa zaraďujú také pozície vybraných bankových nástrojov, ktoré banka získala </w:t>
      </w:r>
      <w:r w:rsidRPr="00A52043">
        <w:rPr>
          <w:rFonts w:ascii="Arial" w:eastAsia="Times New Roman" w:hAnsi="Arial" w:cs="Arial"/>
          <w:sz w:val="20"/>
          <w:szCs w:val="20"/>
        </w:rPr>
        <w:br/>
        <w:t xml:space="preserve">za účelom realizácie krátkodobého zisku, v dôsledku rozdielu medzi nákupnou a predajnou cenou. Všetky ostatné pozície vo finančných nástrojoch sú zaradené do bankovej knihy. </w:t>
      </w:r>
    </w:p>
    <w:p w14:paraId="55A5C11B" w14:textId="77777777" w:rsidR="0057389A" w:rsidRPr="00A52043"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p>
    <w:p w14:paraId="52EE08DE" w14:textId="77777777" w:rsidR="0057389A" w:rsidRPr="00A52043"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A52043">
        <w:rPr>
          <w:rFonts w:ascii="Arial" w:eastAsia="Times New Roman" w:hAnsi="Arial" w:cs="Arial"/>
          <w:sz w:val="20"/>
          <w:szCs w:val="20"/>
        </w:rPr>
        <w:t>OTP Banka má pozície iba v bankovej knihe, takže nie je vystavená trhovému riziku obchodnej knihy.</w:t>
      </w:r>
    </w:p>
    <w:p w14:paraId="10D7013F" w14:textId="77777777" w:rsidR="0057389A" w:rsidRPr="00A52043" w:rsidRDefault="0057389A" w:rsidP="00EB551C">
      <w:pPr>
        <w:spacing w:after="0" w:line="240" w:lineRule="auto"/>
        <w:ind w:left="567"/>
        <w:jc w:val="both"/>
        <w:rPr>
          <w:rFonts w:ascii="Arial" w:eastAsia="Times New Roman" w:hAnsi="Arial" w:cs="Arial"/>
          <w:sz w:val="20"/>
          <w:szCs w:val="20"/>
        </w:rPr>
      </w:pPr>
    </w:p>
    <w:p w14:paraId="68EDD3A8" w14:textId="23578423" w:rsidR="00473B4B" w:rsidRPr="00A52043" w:rsidRDefault="0057389A" w:rsidP="00EB551C">
      <w:pPr>
        <w:widowControl w:val="0"/>
        <w:adjustRightInd w:val="0"/>
        <w:spacing w:after="0"/>
        <w:ind w:left="567"/>
        <w:jc w:val="both"/>
        <w:textAlignment w:val="baseline"/>
        <w:rPr>
          <w:rFonts w:ascii="Arial" w:eastAsia="Times New Roman" w:hAnsi="Arial" w:cs="Arial"/>
          <w:bCs/>
          <w:color w:val="000000" w:themeColor="text1"/>
          <w:sz w:val="20"/>
          <w:szCs w:val="20"/>
          <w:lang w:eastAsia="en-US"/>
        </w:rPr>
      </w:pPr>
      <w:r w:rsidRPr="00A52043">
        <w:rPr>
          <w:rFonts w:ascii="Arial" w:eastAsia="Times New Roman" w:hAnsi="Arial" w:cs="Arial"/>
          <w:sz w:val="20"/>
          <w:szCs w:val="20"/>
        </w:rPr>
        <w:t xml:space="preserve">Za riadenie trhových rizík je zodpovedný Odbor </w:t>
      </w:r>
      <w:proofErr w:type="spellStart"/>
      <w:r w:rsidRPr="00A52043">
        <w:rPr>
          <w:rFonts w:ascii="Arial" w:eastAsia="Times New Roman" w:hAnsi="Arial" w:cs="Arial"/>
          <w:sz w:val="20"/>
          <w:szCs w:val="20"/>
        </w:rPr>
        <w:t>Market&amp;Operational</w:t>
      </w:r>
      <w:proofErr w:type="spellEnd"/>
      <w:r w:rsidRPr="00A52043">
        <w:rPr>
          <w:rFonts w:ascii="Arial" w:eastAsia="Times New Roman" w:hAnsi="Arial" w:cs="Arial"/>
          <w:sz w:val="20"/>
          <w:szCs w:val="20"/>
        </w:rPr>
        <w:t xml:space="preserve"> Risk. Informácie o trhovom riziku sú pravidelne predkladané orgánom banky: predstavenstvu, výboru riadenia aktív a pasív a dozornej rade.</w:t>
      </w:r>
    </w:p>
    <w:p w14:paraId="06DDD510" w14:textId="77777777" w:rsidR="00473B4B" w:rsidRPr="00A52043" w:rsidRDefault="00473B4B" w:rsidP="00473B4B">
      <w:pPr>
        <w:widowControl w:val="0"/>
        <w:adjustRightInd w:val="0"/>
        <w:spacing w:after="0" w:line="240" w:lineRule="auto"/>
        <w:ind w:left="567"/>
        <w:jc w:val="both"/>
        <w:textAlignment w:val="baseline"/>
        <w:rPr>
          <w:rFonts w:ascii="Arial" w:eastAsia="Times New Roman" w:hAnsi="Arial" w:cs="Arial"/>
          <w:bCs/>
          <w:sz w:val="20"/>
          <w:szCs w:val="20"/>
          <w:u w:val="single"/>
        </w:rPr>
      </w:pPr>
    </w:p>
    <w:p w14:paraId="0743720D" w14:textId="77777777" w:rsidR="00473B4B" w:rsidRPr="00A52043" w:rsidRDefault="00473B4B" w:rsidP="00473B4B">
      <w:pPr>
        <w:ind w:left="567"/>
        <w:jc w:val="both"/>
        <w:rPr>
          <w:rFonts w:ascii="Arial" w:hAnsi="Arial" w:cs="Arial"/>
          <w:bCs/>
          <w:sz w:val="20"/>
          <w:szCs w:val="20"/>
          <w:u w:val="single"/>
        </w:rPr>
      </w:pPr>
      <w:r w:rsidRPr="00A52043">
        <w:rPr>
          <w:rFonts w:ascii="Arial" w:hAnsi="Arial" w:cs="Arial"/>
          <w:bCs/>
          <w:sz w:val="20"/>
          <w:szCs w:val="20"/>
          <w:u w:val="single"/>
        </w:rPr>
        <w:t>Úrokové riziko</w:t>
      </w:r>
    </w:p>
    <w:p w14:paraId="417B08C8" w14:textId="4D832B16" w:rsidR="00473B4B" w:rsidRPr="00A52043" w:rsidRDefault="00473B4B" w:rsidP="00473B4B">
      <w:pPr>
        <w:ind w:left="567"/>
        <w:jc w:val="both"/>
        <w:rPr>
          <w:rFonts w:ascii="Arial" w:hAnsi="Arial" w:cs="Arial"/>
          <w:bCs/>
          <w:sz w:val="20"/>
          <w:szCs w:val="20"/>
        </w:rPr>
      </w:pPr>
      <w:r w:rsidRPr="00A52043">
        <w:rPr>
          <w:rFonts w:ascii="Arial" w:hAnsi="Arial" w:cs="Arial"/>
          <w:bCs/>
          <w:sz w:val="20"/>
          <w:szCs w:val="20"/>
        </w:rPr>
        <w:t xml:space="preserve">Úrokové riziko je riziko zmeny čistej súčasnej hodnoty finančného nástroja z dôvodov zmeny trhových úrokových sadzieb. </w:t>
      </w:r>
    </w:p>
    <w:p w14:paraId="2B573EE7" w14:textId="77777777" w:rsidR="00DC3BE0" w:rsidRPr="00A52043" w:rsidRDefault="00DC3BE0" w:rsidP="00DC3BE0">
      <w:pPr>
        <w:ind w:left="567"/>
        <w:jc w:val="both"/>
        <w:rPr>
          <w:rFonts w:ascii="Arial" w:eastAsia="Times New Roman" w:hAnsi="Arial" w:cs="Arial"/>
          <w:sz w:val="20"/>
          <w:szCs w:val="20"/>
        </w:rPr>
      </w:pPr>
      <w:r w:rsidRPr="00A52043">
        <w:rPr>
          <w:rFonts w:ascii="Arial" w:eastAsia="Times New Roman" w:hAnsi="Arial" w:cs="Arial"/>
          <w:sz w:val="20"/>
          <w:szCs w:val="20"/>
        </w:rPr>
        <w:t>Riziko úrokovej sadzby zahŕňa riziko, že hodnota finančného nástroja bude kolísať v dôsledku zmien úrokových sadzieb na trhu a riziko, že splatnosť úročeného majetku sa líši od splatnosti úročených záväzkov použitých na financovanie tohto majetku. Preto dĺžka obdobia, počas ktorého sa úroková sadzba viaže na finančný nástroj, ukazuje do akej miery je tento nástroj vystavený riziku úrokovej miery.</w:t>
      </w:r>
    </w:p>
    <w:p w14:paraId="4D14FB82" w14:textId="77777777" w:rsidR="00DC3BE0" w:rsidRPr="00A52043" w:rsidRDefault="00DC3BE0" w:rsidP="00DC3BE0">
      <w:pPr>
        <w:spacing w:after="0" w:line="240" w:lineRule="auto"/>
        <w:ind w:left="567"/>
        <w:jc w:val="both"/>
        <w:rPr>
          <w:rFonts w:ascii="Arial" w:eastAsia="Times New Roman" w:hAnsi="Arial" w:cs="Arial"/>
          <w:sz w:val="20"/>
          <w:szCs w:val="20"/>
        </w:rPr>
      </w:pPr>
      <w:r w:rsidRPr="00A52043">
        <w:rPr>
          <w:rFonts w:ascii="Arial" w:eastAsia="Times New Roman" w:hAnsi="Arial" w:cs="Arial"/>
          <w:sz w:val="20"/>
          <w:szCs w:val="20"/>
        </w:rPr>
        <w:t xml:space="preserve">Pri rozdelení úrokovo citlivých aktív a úrokovo citlivých pasív do časových pásiem banka využíva štatistický model pre zaradenie vkladov bez zmluvnej splatnosti, Tento model je založený na výpočte minimálnej marže z korelácií medzi trhovými úrokovými sadzbami a úrokovými sadzbami jednotlivých vkladových produktov. </w:t>
      </w:r>
    </w:p>
    <w:p w14:paraId="39019107" w14:textId="77777777" w:rsidR="00DC3BE0" w:rsidRPr="009A3D6A" w:rsidRDefault="00DC3BE0" w:rsidP="00DC3BE0">
      <w:pPr>
        <w:spacing w:after="0" w:line="240" w:lineRule="auto"/>
        <w:ind w:left="567"/>
        <w:jc w:val="both"/>
        <w:rPr>
          <w:rFonts w:ascii="Arial" w:eastAsia="Times New Roman" w:hAnsi="Arial" w:cs="Arial"/>
          <w:sz w:val="20"/>
          <w:szCs w:val="20"/>
          <w:highlight w:val="lightGray"/>
        </w:rPr>
      </w:pPr>
    </w:p>
    <w:p w14:paraId="0C259B7A" w14:textId="6829823B" w:rsidR="00DC3BE0" w:rsidRPr="00A52043" w:rsidRDefault="00DC3BE0" w:rsidP="00DC3BE0">
      <w:pPr>
        <w:widowControl w:val="0"/>
        <w:adjustRightInd w:val="0"/>
        <w:spacing w:after="0" w:line="240" w:lineRule="auto"/>
        <w:ind w:left="567" w:right="57"/>
        <w:jc w:val="both"/>
        <w:textAlignment w:val="baseline"/>
        <w:rPr>
          <w:rFonts w:ascii="Arial" w:eastAsia="Times New Roman" w:hAnsi="Arial" w:cs="Arial"/>
          <w:sz w:val="20"/>
          <w:szCs w:val="20"/>
        </w:rPr>
      </w:pPr>
      <w:r w:rsidRPr="00A52043">
        <w:rPr>
          <w:rFonts w:ascii="Arial" w:eastAsia="Times New Roman" w:hAnsi="Arial" w:cs="Arial"/>
          <w:sz w:val="20"/>
          <w:szCs w:val="20"/>
        </w:rPr>
        <w:t>Výpočet úrokového rizika sa realizuje pomocou “</w:t>
      </w:r>
      <w:proofErr w:type="spellStart"/>
      <w:r w:rsidRPr="00A52043">
        <w:rPr>
          <w:rFonts w:ascii="Arial" w:eastAsia="Times New Roman" w:hAnsi="Arial" w:cs="Arial"/>
          <w:sz w:val="20"/>
          <w:szCs w:val="20"/>
        </w:rPr>
        <w:t>economic</w:t>
      </w:r>
      <w:proofErr w:type="spellEnd"/>
      <w:r w:rsidRPr="00A52043">
        <w:rPr>
          <w:rFonts w:ascii="Arial" w:eastAsia="Times New Roman" w:hAnsi="Arial" w:cs="Arial"/>
          <w:sz w:val="20"/>
          <w:szCs w:val="20"/>
        </w:rPr>
        <w:t xml:space="preserve"> </w:t>
      </w:r>
      <w:proofErr w:type="spellStart"/>
      <w:r w:rsidRPr="00A52043">
        <w:rPr>
          <w:rFonts w:ascii="Arial" w:eastAsia="Times New Roman" w:hAnsi="Arial" w:cs="Arial"/>
          <w:sz w:val="20"/>
          <w:szCs w:val="20"/>
        </w:rPr>
        <w:t>value</w:t>
      </w:r>
      <w:proofErr w:type="spellEnd"/>
      <w:r w:rsidRPr="00A52043">
        <w:rPr>
          <w:rFonts w:ascii="Arial" w:eastAsia="Times New Roman" w:hAnsi="Arial" w:cs="Arial"/>
          <w:sz w:val="20"/>
          <w:szCs w:val="20"/>
        </w:rPr>
        <w:t xml:space="preserve"> of </w:t>
      </w:r>
      <w:proofErr w:type="spellStart"/>
      <w:r w:rsidRPr="00A52043">
        <w:rPr>
          <w:rFonts w:ascii="Arial" w:eastAsia="Times New Roman" w:hAnsi="Arial" w:cs="Arial"/>
          <w:sz w:val="20"/>
          <w:szCs w:val="20"/>
        </w:rPr>
        <w:t>equity</w:t>
      </w:r>
      <w:proofErr w:type="spellEnd"/>
      <w:r w:rsidRPr="00A52043">
        <w:rPr>
          <w:rFonts w:ascii="Arial" w:eastAsia="Times New Roman" w:hAnsi="Arial" w:cs="Arial"/>
          <w:sz w:val="20"/>
          <w:szCs w:val="20"/>
        </w:rPr>
        <w:t>” v z</w:t>
      </w:r>
      <w:r w:rsidR="00D51F9C" w:rsidRPr="00A52043">
        <w:rPr>
          <w:rFonts w:ascii="Arial" w:eastAsia="Times New Roman" w:hAnsi="Arial" w:cs="Arial"/>
          <w:sz w:val="20"/>
          <w:szCs w:val="20"/>
        </w:rPr>
        <w:t>m</w:t>
      </w:r>
      <w:r w:rsidRPr="00A52043">
        <w:rPr>
          <w:rFonts w:ascii="Arial" w:eastAsia="Times New Roman" w:hAnsi="Arial" w:cs="Arial"/>
          <w:sz w:val="20"/>
          <w:szCs w:val="20"/>
        </w:rPr>
        <w:t>ysle regulácie EBA Predstavuje to zmenu s</w:t>
      </w:r>
      <w:r w:rsidR="00D51F9C" w:rsidRPr="00A52043">
        <w:rPr>
          <w:rFonts w:ascii="Arial" w:eastAsia="Times New Roman" w:hAnsi="Arial" w:cs="Arial"/>
          <w:sz w:val="20"/>
          <w:szCs w:val="20"/>
        </w:rPr>
        <w:t>ú</w:t>
      </w:r>
      <w:r w:rsidRPr="00A52043">
        <w:rPr>
          <w:rFonts w:ascii="Arial" w:eastAsia="Times New Roman" w:hAnsi="Arial" w:cs="Arial"/>
          <w:sz w:val="20"/>
          <w:szCs w:val="20"/>
        </w:rPr>
        <w:t xml:space="preserve">časnej hodnoty </w:t>
      </w:r>
      <w:r w:rsidR="00D51F9C" w:rsidRPr="00A52043">
        <w:rPr>
          <w:rFonts w:ascii="Arial" w:eastAsia="Times New Roman" w:hAnsi="Arial" w:cs="Arial"/>
          <w:sz w:val="20"/>
          <w:szCs w:val="20"/>
        </w:rPr>
        <w:t>ú</w:t>
      </w:r>
      <w:r w:rsidRPr="00A52043">
        <w:rPr>
          <w:rFonts w:ascii="Arial" w:eastAsia="Times New Roman" w:hAnsi="Arial" w:cs="Arial"/>
          <w:sz w:val="20"/>
          <w:szCs w:val="20"/>
        </w:rPr>
        <w:t>rokovo citliv</w:t>
      </w:r>
      <w:r w:rsidR="00D51F9C" w:rsidRPr="00A52043">
        <w:rPr>
          <w:rFonts w:ascii="Arial" w:eastAsia="Times New Roman" w:hAnsi="Arial" w:cs="Arial"/>
          <w:sz w:val="20"/>
          <w:szCs w:val="20"/>
        </w:rPr>
        <w:t>ý</w:t>
      </w:r>
      <w:r w:rsidRPr="00A52043">
        <w:rPr>
          <w:rFonts w:ascii="Arial" w:eastAsia="Times New Roman" w:hAnsi="Arial" w:cs="Arial"/>
          <w:sz w:val="20"/>
          <w:szCs w:val="20"/>
        </w:rPr>
        <w:t>ch akt</w:t>
      </w:r>
      <w:r w:rsidR="00D51F9C" w:rsidRPr="00A52043">
        <w:rPr>
          <w:rFonts w:ascii="Arial" w:eastAsia="Times New Roman" w:hAnsi="Arial" w:cs="Arial"/>
          <w:sz w:val="20"/>
          <w:szCs w:val="20"/>
        </w:rPr>
        <w:t>í</w:t>
      </w:r>
      <w:r w:rsidRPr="00A52043">
        <w:rPr>
          <w:rFonts w:ascii="Arial" w:eastAsia="Times New Roman" w:hAnsi="Arial" w:cs="Arial"/>
          <w:sz w:val="20"/>
          <w:szCs w:val="20"/>
        </w:rPr>
        <w:t>v a pas</w:t>
      </w:r>
      <w:r w:rsidR="00D51F9C" w:rsidRPr="00A52043">
        <w:rPr>
          <w:rFonts w:ascii="Arial" w:eastAsia="Times New Roman" w:hAnsi="Arial" w:cs="Arial"/>
          <w:sz w:val="20"/>
          <w:szCs w:val="20"/>
        </w:rPr>
        <w:t>í</w:t>
      </w:r>
      <w:r w:rsidRPr="00A52043">
        <w:rPr>
          <w:rFonts w:ascii="Arial" w:eastAsia="Times New Roman" w:hAnsi="Arial" w:cs="Arial"/>
          <w:sz w:val="20"/>
          <w:szCs w:val="20"/>
        </w:rPr>
        <w:t>v ako v</w:t>
      </w:r>
      <w:r w:rsidR="00D51F9C" w:rsidRPr="00A52043">
        <w:rPr>
          <w:rFonts w:ascii="Arial" w:eastAsia="Times New Roman" w:hAnsi="Arial" w:cs="Arial"/>
          <w:sz w:val="20"/>
          <w:szCs w:val="20"/>
        </w:rPr>
        <w:t>ý</w:t>
      </w:r>
      <w:r w:rsidRPr="00A52043">
        <w:rPr>
          <w:rFonts w:ascii="Arial" w:eastAsia="Times New Roman" w:hAnsi="Arial" w:cs="Arial"/>
          <w:sz w:val="20"/>
          <w:szCs w:val="20"/>
        </w:rPr>
        <w:t>sledok predp</w:t>
      </w:r>
      <w:r w:rsidR="00D51F9C" w:rsidRPr="00A52043">
        <w:rPr>
          <w:rFonts w:ascii="Arial" w:eastAsia="Times New Roman" w:hAnsi="Arial" w:cs="Arial"/>
          <w:sz w:val="20"/>
          <w:szCs w:val="20"/>
        </w:rPr>
        <w:t>í</w:t>
      </w:r>
      <w:r w:rsidRPr="00A52043">
        <w:rPr>
          <w:rFonts w:ascii="Arial" w:eastAsia="Times New Roman" w:hAnsi="Arial" w:cs="Arial"/>
          <w:sz w:val="20"/>
          <w:szCs w:val="20"/>
        </w:rPr>
        <w:t>san</w:t>
      </w:r>
      <w:r w:rsidR="00D51F9C" w:rsidRPr="00A52043">
        <w:rPr>
          <w:rFonts w:ascii="Arial" w:eastAsia="Times New Roman" w:hAnsi="Arial" w:cs="Arial"/>
          <w:sz w:val="20"/>
          <w:szCs w:val="20"/>
        </w:rPr>
        <w:t>é</w:t>
      </w:r>
      <w:r w:rsidRPr="00A52043">
        <w:rPr>
          <w:rFonts w:ascii="Arial" w:eastAsia="Times New Roman" w:hAnsi="Arial" w:cs="Arial"/>
          <w:sz w:val="20"/>
          <w:szCs w:val="20"/>
        </w:rPr>
        <w:t>ho s</w:t>
      </w:r>
      <w:r w:rsidR="00D51F9C" w:rsidRPr="00A52043">
        <w:rPr>
          <w:rFonts w:ascii="Arial" w:eastAsia="Times New Roman" w:hAnsi="Arial" w:cs="Arial"/>
          <w:sz w:val="20"/>
          <w:szCs w:val="20"/>
        </w:rPr>
        <w:t>ú</w:t>
      </w:r>
      <w:r w:rsidRPr="00A52043">
        <w:rPr>
          <w:rFonts w:ascii="Arial" w:eastAsia="Times New Roman" w:hAnsi="Arial" w:cs="Arial"/>
          <w:sz w:val="20"/>
          <w:szCs w:val="20"/>
        </w:rPr>
        <w:t>boru šiestich scen</w:t>
      </w:r>
      <w:r w:rsidR="00D51F9C" w:rsidRPr="00A52043">
        <w:rPr>
          <w:rFonts w:ascii="Arial" w:eastAsia="Times New Roman" w:hAnsi="Arial" w:cs="Arial"/>
          <w:sz w:val="20"/>
          <w:szCs w:val="20"/>
        </w:rPr>
        <w:t>á</w:t>
      </w:r>
      <w:r w:rsidRPr="00A52043">
        <w:rPr>
          <w:rFonts w:ascii="Arial" w:eastAsia="Times New Roman" w:hAnsi="Arial" w:cs="Arial"/>
          <w:sz w:val="20"/>
          <w:szCs w:val="20"/>
        </w:rPr>
        <w:t>rov (paraleln</w:t>
      </w:r>
      <w:r w:rsidR="00D51F9C" w:rsidRPr="00A52043">
        <w:rPr>
          <w:rFonts w:ascii="Arial" w:eastAsia="Times New Roman" w:hAnsi="Arial" w:cs="Arial"/>
          <w:sz w:val="20"/>
          <w:szCs w:val="20"/>
        </w:rPr>
        <w:t>ý</w:t>
      </w:r>
      <w:r w:rsidRPr="00A52043">
        <w:rPr>
          <w:rFonts w:ascii="Arial" w:eastAsia="Times New Roman" w:hAnsi="Arial" w:cs="Arial"/>
          <w:sz w:val="20"/>
          <w:szCs w:val="20"/>
        </w:rPr>
        <w:t>ch aj neparaleln</w:t>
      </w:r>
      <w:r w:rsidR="00D51F9C" w:rsidRPr="00A52043">
        <w:rPr>
          <w:rFonts w:ascii="Arial" w:eastAsia="Times New Roman" w:hAnsi="Arial" w:cs="Arial"/>
          <w:sz w:val="20"/>
          <w:szCs w:val="20"/>
        </w:rPr>
        <w:t>ý</w:t>
      </w:r>
      <w:r w:rsidRPr="00A52043">
        <w:rPr>
          <w:rFonts w:ascii="Arial" w:eastAsia="Times New Roman" w:hAnsi="Arial" w:cs="Arial"/>
          <w:sz w:val="20"/>
          <w:szCs w:val="20"/>
        </w:rPr>
        <w:t>ch, definovan</w:t>
      </w:r>
      <w:r w:rsidR="00D51F9C" w:rsidRPr="00A52043">
        <w:rPr>
          <w:rFonts w:ascii="Arial" w:eastAsia="Times New Roman" w:hAnsi="Arial" w:cs="Arial"/>
          <w:sz w:val="20"/>
          <w:szCs w:val="20"/>
        </w:rPr>
        <w:t>ý</w:t>
      </w:r>
      <w:r w:rsidRPr="00A52043">
        <w:rPr>
          <w:rFonts w:ascii="Arial" w:eastAsia="Times New Roman" w:hAnsi="Arial" w:cs="Arial"/>
          <w:sz w:val="20"/>
          <w:szCs w:val="20"/>
        </w:rPr>
        <w:t>ch EBA). V</w:t>
      </w:r>
      <w:r w:rsidR="00D51F9C" w:rsidRPr="00A52043">
        <w:rPr>
          <w:rFonts w:ascii="Arial" w:eastAsia="Times New Roman" w:hAnsi="Arial" w:cs="Arial"/>
          <w:sz w:val="20"/>
          <w:szCs w:val="20"/>
        </w:rPr>
        <w:t>ý</w:t>
      </w:r>
      <w:r w:rsidRPr="00A52043">
        <w:rPr>
          <w:rFonts w:ascii="Arial" w:eastAsia="Times New Roman" w:hAnsi="Arial" w:cs="Arial"/>
          <w:sz w:val="20"/>
          <w:szCs w:val="20"/>
        </w:rPr>
        <w:t>sledn</w:t>
      </w:r>
      <w:r w:rsidR="00D51F9C" w:rsidRPr="00A52043">
        <w:rPr>
          <w:rFonts w:ascii="Arial" w:eastAsia="Times New Roman" w:hAnsi="Arial" w:cs="Arial"/>
          <w:sz w:val="20"/>
          <w:szCs w:val="20"/>
        </w:rPr>
        <w:t>á</w:t>
      </w:r>
      <w:r w:rsidRPr="00A52043">
        <w:rPr>
          <w:rFonts w:ascii="Arial" w:eastAsia="Times New Roman" w:hAnsi="Arial" w:cs="Arial"/>
          <w:sz w:val="20"/>
          <w:szCs w:val="20"/>
        </w:rPr>
        <w:t xml:space="preserve"> sen</w:t>
      </w:r>
      <w:r w:rsidR="00D51F9C" w:rsidRPr="00A52043">
        <w:rPr>
          <w:rFonts w:ascii="Arial" w:eastAsia="Times New Roman" w:hAnsi="Arial" w:cs="Arial"/>
          <w:sz w:val="20"/>
          <w:szCs w:val="20"/>
        </w:rPr>
        <w:t>z</w:t>
      </w:r>
      <w:r w:rsidRPr="00A52043">
        <w:rPr>
          <w:rFonts w:ascii="Arial" w:eastAsia="Times New Roman" w:hAnsi="Arial" w:cs="Arial"/>
          <w:sz w:val="20"/>
          <w:szCs w:val="20"/>
        </w:rPr>
        <w:t>itivita sa porov</w:t>
      </w:r>
      <w:r w:rsidR="00D51F9C" w:rsidRPr="00A52043">
        <w:rPr>
          <w:rFonts w:ascii="Arial" w:eastAsia="Times New Roman" w:hAnsi="Arial" w:cs="Arial"/>
          <w:sz w:val="20"/>
          <w:szCs w:val="20"/>
        </w:rPr>
        <w:t>ná</w:t>
      </w:r>
      <w:r w:rsidRPr="00A52043">
        <w:rPr>
          <w:rFonts w:ascii="Arial" w:eastAsia="Times New Roman" w:hAnsi="Arial" w:cs="Arial"/>
          <w:sz w:val="20"/>
          <w:szCs w:val="20"/>
        </w:rPr>
        <w:t>va s pr</w:t>
      </w:r>
      <w:r w:rsidR="00D51F9C" w:rsidRPr="00A52043">
        <w:rPr>
          <w:rFonts w:ascii="Arial" w:eastAsia="Times New Roman" w:hAnsi="Arial" w:cs="Arial"/>
          <w:sz w:val="20"/>
          <w:szCs w:val="20"/>
        </w:rPr>
        <w:t>í</w:t>
      </w:r>
      <w:r w:rsidRPr="00A52043">
        <w:rPr>
          <w:rFonts w:ascii="Arial" w:eastAsia="Times New Roman" w:hAnsi="Arial" w:cs="Arial"/>
          <w:sz w:val="20"/>
          <w:szCs w:val="20"/>
        </w:rPr>
        <w:t>pustn</w:t>
      </w:r>
      <w:r w:rsidR="00D51F9C" w:rsidRPr="00A52043">
        <w:rPr>
          <w:rFonts w:ascii="Arial" w:eastAsia="Times New Roman" w:hAnsi="Arial" w:cs="Arial"/>
          <w:sz w:val="20"/>
          <w:szCs w:val="20"/>
        </w:rPr>
        <w:t>ý</w:t>
      </w:r>
      <w:r w:rsidRPr="00A52043">
        <w:rPr>
          <w:rFonts w:ascii="Arial" w:eastAsia="Times New Roman" w:hAnsi="Arial" w:cs="Arial"/>
          <w:sz w:val="20"/>
          <w:szCs w:val="20"/>
        </w:rPr>
        <w:t>m kapit</w:t>
      </w:r>
      <w:r w:rsidR="00D51F9C" w:rsidRPr="00A52043">
        <w:rPr>
          <w:rFonts w:ascii="Arial" w:eastAsia="Times New Roman" w:hAnsi="Arial" w:cs="Arial"/>
          <w:sz w:val="20"/>
          <w:szCs w:val="20"/>
        </w:rPr>
        <w:t>á</w:t>
      </w:r>
      <w:r w:rsidRPr="00A52043">
        <w:rPr>
          <w:rFonts w:ascii="Arial" w:eastAsia="Times New Roman" w:hAnsi="Arial" w:cs="Arial"/>
          <w:sz w:val="20"/>
          <w:szCs w:val="20"/>
        </w:rPr>
        <w:t>lom.</w:t>
      </w:r>
    </w:p>
    <w:p w14:paraId="19CA5A4F" w14:textId="77777777" w:rsidR="00DC3BE0" w:rsidRPr="00A52043" w:rsidRDefault="00DC3BE0" w:rsidP="00DC3BE0">
      <w:pPr>
        <w:widowControl w:val="0"/>
        <w:adjustRightInd w:val="0"/>
        <w:spacing w:after="0" w:line="240" w:lineRule="auto"/>
        <w:ind w:left="567" w:right="57"/>
        <w:jc w:val="both"/>
        <w:textAlignment w:val="baseline"/>
        <w:rPr>
          <w:rFonts w:ascii="Arial" w:eastAsia="Times New Roman" w:hAnsi="Arial" w:cs="Arial"/>
          <w:sz w:val="20"/>
          <w:szCs w:val="20"/>
        </w:rPr>
      </w:pPr>
    </w:p>
    <w:p w14:paraId="02F74B04" w14:textId="77777777" w:rsidR="00DC3BE0" w:rsidRPr="00A52043" w:rsidRDefault="00DC3BE0" w:rsidP="00DC3BE0">
      <w:pPr>
        <w:tabs>
          <w:tab w:val="num" w:pos="540"/>
        </w:tabs>
        <w:overflowPunct w:val="0"/>
        <w:autoSpaceDE w:val="0"/>
        <w:autoSpaceDN w:val="0"/>
        <w:adjustRightInd w:val="0"/>
        <w:spacing w:after="0" w:line="240" w:lineRule="auto"/>
        <w:ind w:left="567"/>
        <w:jc w:val="both"/>
        <w:textAlignment w:val="baseline"/>
        <w:rPr>
          <w:rFonts w:ascii="Arial" w:eastAsia="Times New Roman" w:hAnsi="Arial" w:cs="Arial"/>
          <w:sz w:val="20"/>
          <w:szCs w:val="20"/>
        </w:rPr>
      </w:pPr>
      <w:r w:rsidRPr="00A52043">
        <w:rPr>
          <w:rFonts w:ascii="Arial" w:eastAsia="Times New Roman" w:hAnsi="Arial" w:cs="Arial"/>
          <w:sz w:val="20"/>
          <w:szCs w:val="20"/>
        </w:rPr>
        <w:t>Na sledovanie úrokového rizika používa banka nasledovné limity pre úrokové riziko bankovej knihy:</w:t>
      </w:r>
    </w:p>
    <w:p w14:paraId="64058269" w14:textId="77777777" w:rsidR="00DC3BE0" w:rsidRPr="009A3D6A" w:rsidRDefault="00DC3BE0" w:rsidP="00DC3BE0">
      <w:pPr>
        <w:tabs>
          <w:tab w:val="num" w:pos="540"/>
        </w:tabs>
        <w:overflowPunct w:val="0"/>
        <w:autoSpaceDE w:val="0"/>
        <w:autoSpaceDN w:val="0"/>
        <w:adjustRightInd w:val="0"/>
        <w:spacing w:after="0" w:line="240" w:lineRule="auto"/>
        <w:ind w:left="567"/>
        <w:jc w:val="both"/>
        <w:textAlignment w:val="baseline"/>
        <w:rPr>
          <w:rFonts w:ascii="Arial" w:eastAsia="Times New Roman" w:hAnsi="Arial" w:cs="Arial"/>
          <w:sz w:val="20"/>
          <w:szCs w:val="20"/>
          <w:highlight w:val="lightGray"/>
        </w:rPr>
      </w:pPr>
      <w:bookmarkStart w:id="2" w:name="_Toc520714435"/>
    </w:p>
    <w:p w14:paraId="4268EB8F" w14:textId="77777777" w:rsidR="00DC3BE0" w:rsidRPr="00A52043" w:rsidRDefault="00DC3BE0" w:rsidP="00DC3BE0">
      <w:pPr>
        <w:tabs>
          <w:tab w:val="num" w:pos="540"/>
        </w:tabs>
        <w:overflowPunct w:val="0"/>
        <w:autoSpaceDE w:val="0"/>
        <w:autoSpaceDN w:val="0"/>
        <w:adjustRightInd w:val="0"/>
        <w:spacing w:after="0" w:line="240" w:lineRule="auto"/>
        <w:ind w:left="567"/>
        <w:jc w:val="both"/>
        <w:textAlignment w:val="baseline"/>
        <w:rPr>
          <w:rFonts w:ascii="Arial" w:eastAsia="Times New Roman" w:hAnsi="Arial" w:cs="Arial"/>
          <w:sz w:val="20"/>
          <w:szCs w:val="20"/>
        </w:rPr>
      </w:pPr>
      <w:r w:rsidRPr="00A52043">
        <w:rPr>
          <w:rFonts w:ascii="Arial" w:eastAsia="Times New Roman" w:hAnsi="Arial" w:cs="Arial"/>
          <w:sz w:val="20"/>
          <w:szCs w:val="20"/>
        </w:rPr>
        <w:t>Limity pre úrokové riziko bankovej knihy:</w:t>
      </w:r>
    </w:p>
    <w:p w14:paraId="4E21AFA1" w14:textId="77777777" w:rsidR="00DC3BE0" w:rsidRPr="00A52043" w:rsidRDefault="00DC3BE0" w:rsidP="00DC3BE0">
      <w:pPr>
        <w:spacing w:after="0" w:line="240" w:lineRule="auto"/>
        <w:ind w:left="567"/>
        <w:jc w:val="both"/>
        <w:rPr>
          <w:rFonts w:ascii="Arial" w:eastAsia="Times New Roman" w:hAnsi="Arial" w:cs="Arial"/>
          <w:sz w:val="20"/>
          <w:szCs w:val="20"/>
        </w:rPr>
      </w:pPr>
    </w:p>
    <w:bookmarkEnd w:id="2"/>
    <w:p w14:paraId="7D5B95CA" w14:textId="77777777" w:rsidR="00DC3BE0" w:rsidRPr="00A52043" w:rsidRDefault="00DC3BE0" w:rsidP="00DC3BE0">
      <w:pPr>
        <w:numPr>
          <w:ilvl w:val="0"/>
          <w:numId w:val="46"/>
        </w:numPr>
        <w:tabs>
          <w:tab w:val="num" w:pos="426"/>
          <w:tab w:val="num" w:pos="567"/>
        </w:tabs>
        <w:spacing w:after="0" w:line="240" w:lineRule="auto"/>
        <w:ind w:left="567" w:firstLine="0"/>
        <w:jc w:val="both"/>
        <w:rPr>
          <w:rFonts w:ascii="Arial" w:eastAsia="Times New Roman" w:hAnsi="Arial" w:cs="Arial"/>
          <w:sz w:val="20"/>
          <w:szCs w:val="20"/>
        </w:rPr>
      </w:pPr>
      <w:r w:rsidRPr="00A52043">
        <w:rPr>
          <w:rFonts w:ascii="Arial" w:eastAsia="Times New Roman" w:hAnsi="Arial" w:cs="Arial"/>
          <w:sz w:val="20"/>
          <w:szCs w:val="20"/>
        </w:rPr>
        <w:t>Limity rizika úrokovej sadzby (scenáre úrokového šoku)</w:t>
      </w:r>
    </w:p>
    <w:p w14:paraId="3D8E7293" w14:textId="77777777" w:rsidR="00DC3BE0" w:rsidRPr="00A52043" w:rsidRDefault="00DC3BE0" w:rsidP="00DC3BE0">
      <w:pPr>
        <w:numPr>
          <w:ilvl w:val="0"/>
          <w:numId w:val="46"/>
        </w:numPr>
        <w:tabs>
          <w:tab w:val="num" w:pos="426"/>
          <w:tab w:val="num" w:pos="567"/>
        </w:tabs>
        <w:spacing w:after="0" w:line="240" w:lineRule="auto"/>
        <w:ind w:left="567" w:firstLine="0"/>
        <w:jc w:val="both"/>
        <w:rPr>
          <w:rFonts w:ascii="Arial" w:eastAsia="Times New Roman" w:hAnsi="Arial" w:cs="Arial"/>
          <w:sz w:val="20"/>
          <w:szCs w:val="20"/>
        </w:rPr>
      </w:pPr>
      <w:r w:rsidRPr="00A52043">
        <w:rPr>
          <w:rFonts w:ascii="Arial" w:eastAsia="Times New Roman" w:hAnsi="Arial" w:cs="Arial"/>
          <w:sz w:val="20"/>
          <w:szCs w:val="20"/>
        </w:rPr>
        <w:t>Limit rizika úrokovej sadzby pri zmene tvaru výnosovej krivky pre celé portfólio (banková kniha a obchodná kniha spolu)</w:t>
      </w:r>
    </w:p>
    <w:p w14:paraId="1CCE458D" w14:textId="77777777" w:rsidR="00DC3BE0" w:rsidRPr="00A52043" w:rsidRDefault="00DC3BE0" w:rsidP="00DC3BE0">
      <w:pPr>
        <w:tabs>
          <w:tab w:val="num" w:pos="720"/>
        </w:tabs>
        <w:spacing w:after="0" w:line="240" w:lineRule="auto"/>
        <w:ind w:left="567"/>
        <w:jc w:val="both"/>
        <w:rPr>
          <w:rFonts w:ascii="Arial" w:eastAsia="Times New Roman" w:hAnsi="Arial" w:cs="Arial"/>
          <w:sz w:val="20"/>
          <w:szCs w:val="20"/>
        </w:rPr>
      </w:pPr>
    </w:p>
    <w:p w14:paraId="3C18DC49" w14:textId="304EE506" w:rsidR="00DC3BE0" w:rsidRPr="00A52043" w:rsidRDefault="00DC3BE0" w:rsidP="00DC3BE0">
      <w:pPr>
        <w:ind w:left="567"/>
        <w:jc w:val="both"/>
        <w:rPr>
          <w:rFonts w:ascii="Arial" w:hAnsi="Arial" w:cs="Arial"/>
          <w:bCs/>
          <w:sz w:val="20"/>
          <w:szCs w:val="20"/>
        </w:rPr>
      </w:pPr>
      <w:r w:rsidRPr="00A52043">
        <w:rPr>
          <w:rFonts w:ascii="Arial" w:eastAsia="Times New Roman" w:hAnsi="Arial" w:cs="Arial"/>
          <w:sz w:val="20"/>
          <w:szCs w:val="20"/>
        </w:rPr>
        <w:t xml:space="preserve">Potenciálny pokles ekonomickej hodnoty banky pri ktoromkoľvek scenári úrokového šoku nesmie prevýšiť 15 % kapitálu </w:t>
      </w:r>
      <w:proofErr w:type="spellStart"/>
      <w:r w:rsidRPr="00A52043">
        <w:rPr>
          <w:rFonts w:ascii="Arial" w:eastAsia="Times New Roman" w:hAnsi="Arial" w:cs="Arial"/>
          <w:sz w:val="20"/>
          <w:szCs w:val="20"/>
        </w:rPr>
        <w:t>Tier</w:t>
      </w:r>
      <w:proofErr w:type="spellEnd"/>
      <w:r w:rsidRPr="00A52043">
        <w:rPr>
          <w:rFonts w:ascii="Arial" w:eastAsia="Times New Roman" w:hAnsi="Arial" w:cs="Arial"/>
          <w:sz w:val="20"/>
          <w:szCs w:val="20"/>
        </w:rPr>
        <w:t xml:space="preserve"> 1.</w:t>
      </w:r>
    </w:p>
    <w:p w14:paraId="280CB301" w14:textId="0F45B7DD" w:rsidR="00473B4B" w:rsidRPr="00A52043" w:rsidRDefault="00473B4B" w:rsidP="00473B4B">
      <w:pPr>
        <w:ind w:left="567"/>
        <w:jc w:val="both"/>
        <w:rPr>
          <w:rFonts w:ascii="Arial" w:hAnsi="Arial" w:cs="Arial"/>
          <w:bCs/>
          <w:sz w:val="20"/>
          <w:szCs w:val="20"/>
        </w:rPr>
      </w:pPr>
      <w:r w:rsidRPr="00A52043">
        <w:rPr>
          <w:rFonts w:ascii="Arial" w:hAnsi="Arial" w:cs="Arial"/>
          <w:bCs/>
          <w:sz w:val="20"/>
          <w:szCs w:val="20"/>
        </w:rPr>
        <w:t>Pri zmierňovaní úrokového rizika banka môže prostredníctvom ALCO výboru rozhodnúť o zmene štruktúry portfólia, zmene úrokových sadzieb produktov, prípadne o použití zabezpečovacích nástrojov – úrokových derivátov.</w:t>
      </w:r>
    </w:p>
    <w:p w14:paraId="0A3BF8BF" w14:textId="77777777" w:rsidR="00473B4B" w:rsidRPr="00A52043" w:rsidRDefault="00473B4B" w:rsidP="00473B4B">
      <w:pPr>
        <w:ind w:left="567"/>
        <w:jc w:val="both"/>
        <w:rPr>
          <w:rFonts w:ascii="Arial" w:hAnsi="Arial" w:cs="Arial"/>
          <w:bCs/>
          <w:sz w:val="20"/>
          <w:szCs w:val="20"/>
          <w:u w:val="single"/>
        </w:rPr>
      </w:pPr>
      <w:r w:rsidRPr="00A52043">
        <w:rPr>
          <w:rFonts w:ascii="Arial" w:hAnsi="Arial" w:cs="Arial"/>
          <w:bCs/>
          <w:sz w:val="20"/>
          <w:szCs w:val="20"/>
          <w:u w:val="single"/>
        </w:rPr>
        <w:t>Devízové riziko</w:t>
      </w:r>
    </w:p>
    <w:p w14:paraId="5D4D410A" w14:textId="77777777" w:rsidR="00FA0F6D" w:rsidRPr="00A52043" w:rsidRDefault="00473B4B" w:rsidP="00473B4B">
      <w:pPr>
        <w:ind w:left="567"/>
        <w:jc w:val="both"/>
        <w:rPr>
          <w:rFonts w:ascii="Arial" w:hAnsi="Arial" w:cs="Arial"/>
          <w:bCs/>
          <w:sz w:val="20"/>
          <w:szCs w:val="20"/>
        </w:rPr>
      </w:pPr>
      <w:r w:rsidRPr="00A52043">
        <w:rPr>
          <w:rFonts w:ascii="Arial" w:hAnsi="Arial" w:cs="Arial"/>
          <w:bCs/>
          <w:sz w:val="20"/>
          <w:szCs w:val="20"/>
        </w:rPr>
        <w:t xml:space="preserve">Devízové riziko je rizikom zmeny hodnoty finančného nástroja z dôvodov zmien devízových kurzov. Banka riadi toto riziko stanovením a monitorovaním limitov pre otvorené pozície. </w:t>
      </w:r>
    </w:p>
    <w:p w14:paraId="5C766767" w14:textId="77777777" w:rsidR="00FA0F6D" w:rsidRPr="00A52043" w:rsidRDefault="00473B4B" w:rsidP="00473B4B">
      <w:pPr>
        <w:ind w:left="567"/>
        <w:jc w:val="both"/>
        <w:rPr>
          <w:rFonts w:ascii="Arial" w:hAnsi="Arial" w:cs="Arial"/>
          <w:bCs/>
          <w:sz w:val="20"/>
          <w:szCs w:val="20"/>
        </w:rPr>
      </w:pPr>
      <w:r w:rsidRPr="00A52043">
        <w:rPr>
          <w:rFonts w:ascii="Arial" w:hAnsi="Arial" w:cs="Arial"/>
          <w:bCs/>
          <w:sz w:val="20"/>
          <w:szCs w:val="20"/>
        </w:rPr>
        <w:t xml:space="preserve">Pri riadení devízového rizika banka denne zostavuje devízovú pozíciu, ktorá vyjadruje objem aktív a pasív rozdelený na jednotlivé meny, v ktorých banka zaujíma pozície. Na meranie hodnoty devízového rizika používa banka metódu </w:t>
      </w:r>
      <w:proofErr w:type="spellStart"/>
      <w:r w:rsidRPr="00A52043">
        <w:rPr>
          <w:rFonts w:ascii="Arial" w:hAnsi="Arial" w:cs="Arial"/>
          <w:bCs/>
          <w:sz w:val="20"/>
          <w:szCs w:val="20"/>
        </w:rPr>
        <w:t>VaR</w:t>
      </w:r>
      <w:proofErr w:type="spellEnd"/>
      <w:r w:rsidRPr="00A52043">
        <w:rPr>
          <w:rFonts w:ascii="Arial" w:hAnsi="Arial" w:cs="Arial"/>
          <w:bCs/>
          <w:sz w:val="20"/>
          <w:szCs w:val="20"/>
        </w:rPr>
        <w:t xml:space="preserve"> (</w:t>
      </w:r>
      <w:proofErr w:type="spellStart"/>
      <w:r w:rsidRPr="00A52043">
        <w:rPr>
          <w:rFonts w:ascii="Arial" w:hAnsi="Arial" w:cs="Arial"/>
          <w:bCs/>
          <w:sz w:val="20"/>
          <w:szCs w:val="20"/>
        </w:rPr>
        <w:t>Value</w:t>
      </w:r>
      <w:proofErr w:type="spellEnd"/>
      <w:r w:rsidRPr="00A52043">
        <w:rPr>
          <w:rFonts w:ascii="Arial" w:hAnsi="Arial" w:cs="Arial"/>
          <w:bCs/>
          <w:sz w:val="20"/>
          <w:szCs w:val="20"/>
        </w:rPr>
        <w:t xml:space="preserve"> at Risk). Pri jej výpočte sa na aktuálnu devízovú pozíciu banky aplikuje ročná historická databáza denných pohybov kurzov, pričom hodnota </w:t>
      </w:r>
      <w:proofErr w:type="spellStart"/>
      <w:r w:rsidRPr="00A52043">
        <w:rPr>
          <w:rFonts w:ascii="Arial" w:hAnsi="Arial" w:cs="Arial"/>
          <w:bCs/>
          <w:sz w:val="20"/>
          <w:szCs w:val="20"/>
        </w:rPr>
        <w:t>VaR</w:t>
      </w:r>
      <w:proofErr w:type="spellEnd"/>
      <w:r w:rsidRPr="00A52043">
        <w:rPr>
          <w:rFonts w:ascii="Arial" w:hAnsi="Arial" w:cs="Arial"/>
          <w:bCs/>
          <w:sz w:val="20"/>
          <w:szCs w:val="20"/>
        </w:rPr>
        <w:t xml:space="preserve"> je určená na hladine spoľahlivosti 99 %. Na účely </w:t>
      </w:r>
      <w:proofErr w:type="spellStart"/>
      <w:r w:rsidRPr="00A52043">
        <w:rPr>
          <w:rFonts w:ascii="Arial" w:hAnsi="Arial" w:cs="Arial"/>
          <w:bCs/>
          <w:sz w:val="20"/>
          <w:szCs w:val="20"/>
        </w:rPr>
        <w:t>stress</w:t>
      </w:r>
      <w:proofErr w:type="spellEnd"/>
      <w:r w:rsidRPr="00A52043">
        <w:rPr>
          <w:rFonts w:ascii="Arial" w:hAnsi="Arial" w:cs="Arial"/>
          <w:bCs/>
          <w:sz w:val="20"/>
          <w:szCs w:val="20"/>
        </w:rPr>
        <w:t xml:space="preserve"> testu používa banka scenár 5% nepriaznivého pohybu kurzov a sleduje jeho vplyv na potenciálnu stratu. </w:t>
      </w:r>
    </w:p>
    <w:p w14:paraId="39C26086" w14:textId="77C505A4" w:rsidR="00473B4B" w:rsidRPr="00A52043" w:rsidRDefault="00473B4B" w:rsidP="00473B4B">
      <w:pPr>
        <w:ind w:left="567"/>
        <w:jc w:val="both"/>
        <w:rPr>
          <w:rFonts w:ascii="Arial" w:hAnsi="Arial" w:cs="Arial"/>
          <w:bCs/>
          <w:sz w:val="20"/>
          <w:szCs w:val="20"/>
        </w:rPr>
      </w:pPr>
      <w:r w:rsidRPr="00A52043">
        <w:rPr>
          <w:rFonts w:ascii="Arial" w:hAnsi="Arial" w:cs="Arial"/>
          <w:bCs/>
          <w:sz w:val="20"/>
          <w:szCs w:val="20"/>
        </w:rPr>
        <w:t xml:space="preserve">Za účelom overiť správnosť nastavených parametrov výpočtu a ohodnotenia vierohodnosti celého spôsobu určovania rizika banka vykonáva spätné testovanie – </w:t>
      </w:r>
      <w:proofErr w:type="spellStart"/>
      <w:r w:rsidRPr="00A52043">
        <w:rPr>
          <w:rFonts w:ascii="Arial" w:hAnsi="Arial" w:cs="Arial"/>
          <w:bCs/>
          <w:sz w:val="20"/>
          <w:szCs w:val="20"/>
        </w:rPr>
        <w:t>back</w:t>
      </w:r>
      <w:proofErr w:type="spellEnd"/>
      <w:r w:rsidRPr="00A52043">
        <w:rPr>
          <w:rFonts w:ascii="Arial" w:hAnsi="Arial" w:cs="Arial"/>
          <w:bCs/>
          <w:sz w:val="20"/>
          <w:szCs w:val="20"/>
        </w:rPr>
        <w:t xml:space="preserve"> test. Je vykonaný porovnaním vypočítanej  hodnoty  </w:t>
      </w:r>
      <w:proofErr w:type="spellStart"/>
      <w:r w:rsidRPr="00A52043">
        <w:rPr>
          <w:rFonts w:ascii="Arial" w:hAnsi="Arial" w:cs="Arial"/>
          <w:bCs/>
          <w:sz w:val="20"/>
          <w:szCs w:val="20"/>
        </w:rPr>
        <w:t>VaR</w:t>
      </w:r>
      <w:proofErr w:type="spellEnd"/>
      <w:r w:rsidRPr="00A52043">
        <w:rPr>
          <w:rFonts w:ascii="Arial" w:hAnsi="Arial" w:cs="Arial"/>
          <w:bCs/>
          <w:sz w:val="20"/>
          <w:szCs w:val="20"/>
        </w:rPr>
        <w:t xml:space="preserve">  pre deň d s hodnotou, ktorá bola reálne dosiahnutá pri použití zmien devízových kurzov v deň d + 1. Takto vypočítaná hodnota by na potvrdenie správnosti modelu mala byť v 99% prípadov nižšia ako hodnota </w:t>
      </w:r>
      <w:proofErr w:type="spellStart"/>
      <w:r w:rsidRPr="00A52043">
        <w:rPr>
          <w:rFonts w:ascii="Arial" w:hAnsi="Arial" w:cs="Arial"/>
          <w:bCs/>
          <w:sz w:val="20"/>
          <w:szCs w:val="20"/>
        </w:rPr>
        <w:t>VaR</w:t>
      </w:r>
      <w:proofErr w:type="spellEnd"/>
      <w:r w:rsidRPr="00A52043">
        <w:rPr>
          <w:rFonts w:ascii="Arial" w:hAnsi="Arial" w:cs="Arial"/>
          <w:bCs/>
          <w:sz w:val="20"/>
          <w:szCs w:val="20"/>
        </w:rPr>
        <w:t xml:space="preserve">. Banka stanovením limitov obmedzuje hodnotu otvorenej devízovej pozície pre jednotlivé meny, čistej otvorenej pozície, maximálnu hodnotu ukazovateľa </w:t>
      </w:r>
      <w:proofErr w:type="spellStart"/>
      <w:r w:rsidRPr="00A52043">
        <w:rPr>
          <w:rFonts w:ascii="Arial" w:hAnsi="Arial" w:cs="Arial"/>
          <w:bCs/>
          <w:sz w:val="20"/>
          <w:szCs w:val="20"/>
        </w:rPr>
        <w:t>VaR</w:t>
      </w:r>
      <w:proofErr w:type="spellEnd"/>
      <w:r w:rsidRPr="00A52043">
        <w:rPr>
          <w:rFonts w:ascii="Arial" w:hAnsi="Arial" w:cs="Arial"/>
          <w:bCs/>
          <w:sz w:val="20"/>
          <w:szCs w:val="20"/>
        </w:rPr>
        <w:t xml:space="preserve"> a hodnotu pre </w:t>
      </w:r>
      <w:proofErr w:type="spellStart"/>
      <w:r w:rsidRPr="00A52043">
        <w:rPr>
          <w:rFonts w:ascii="Arial" w:hAnsi="Arial" w:cs="Arial"/>
          <w:bCs/>
          <w:sz w:val="20"/>
          <w:szCs w:val="20"/>
        </w:rPr>
        <w:t>Stress</w:t>
      </w:r>
      <w:proofErr w:type="spellEnd"/>
      <w:r w:rsidRPr="00A52043">
        <w:rPr>
          <w:rFonts w:ascii="Arial" w:hAnsi="Arial" w:cs="Arial"/>
          <w:bCs/>
          <w:sz w:val="20"/>
          <w:szCs w:val="20"/>
        </w:rPr>
        <w:t xml:space="preserve"> test.</w:t>
      </w:r>
    </w:p>
    <w:p w14:paraId="70FDC3CD" w14:textId="05FD683D" w:rsidR="00473B4B" w:rsidRDefault="00473B4B" w:rsidP="00473B4B">
      <w:pPr>
        <w:spacing w:line="240" w:lineRule="auto"/>
        <w:ind w:left="567"/>
        <w:jc w:val="both"/>
        <w:rPr>
          <w:rFonts w:ascii="Arial" w:hAnsi="Arial" w:cs="Arial"/>
          <w:bCs/>
          <w:sz w:val="20"/>
          <w:szCs w:val="20"/>
        </w:rPr>
      </w:pPr>
      <w:r w:rsidRPr="00A52043">
        <w:rPr>
          <w:rFonts w:ascii="Arial" w:hAnsi="Arial" w:cs="Arial"/>
          <w:bCs/>
          <w:sz w:val="20"/>
          <w:szCs w:val="20"/>
        </w:rPr>
        <w:t>Pri zmierňovaní devízového rizika banka využíva devízové spotové operácie a devízové termínové operácie.</w:t>
      </w:r>
    </w:p>
    <w:p w14:paraId="6594AC86" w14:textId="13AB82A4" w:rsidR="000901F3" w:rsidRDefault="000901F3" w:rsidP="00473B4B">
      <w:pPr>
        <w:spacing w:line="240" w:lineRule="auto"/>
        <w:ind w:left="567"/>
        <w:jc w:val="both"/>
        <w:rPr>
          <w:rFonts w:ascii="Arial" w:hAnsi="Arial" w:cs="Arial"/>
          <w:bCs/>
          <w:sz w:val="20"/>
          <w:szCs w:val="20"/>
        </w:rPr>
      </w:pPr>
    </w:p>
    <w:p w14:paraId="35BF7C56" w14:textId="77777777" w:rsidR="000901F3" w:rsidRPr="00A52043" w:rsidRDefault="000901F3" w:rsidP="00473B4B">
      <w:pPr>
        <w:spacing w:line="240" w:lineRule="auto"/>
        <w:ind w:left="567"/>
        <w:jc w:val="both"/>
        <w:rPr>
          <w:rFonts w:ascii="Arial" w:hAnsi="Arial" w:cs="Arial"/>
          <w:bCs/>
          <w:sz w:val="20"/>
          <w:szCs w:val="20"/>
        </w:rPr>
      </w:pPr>
    </w:p>
    <w:p w14:paraId="0379BE04" w14:textId="77777777" w:rsidR="00473B4B" w:rsidRPr="00A52043" w:rsidRDefault="00473B4B" w:rsidP="00473B4B">
      <w:pPr>
        <w:spacing w:line="240" w:lineRule="auto"/>
        <w:ind w:left="567"/>
        <w:jc w:val="both"/>
        <w:rPr>
          <w:rFonts w:ascii="Arial" w:hAnsi="Arial" w:cs="Arial"/>
          <w:bCs/>
          <w:sz w:val="20"/>
          <w:szCs w:val="20"/>
          <w:u w:val="single"/>
        </w:rPr>
      </w:pPr>
      <w:r w:rsidRPr="00A52043">
        <w:rPr>
          <w:rFonts w:ascii="Arial" w:hAnsi="Arial" w:cs="Arial"/>
          <w:bCs/>
          <w:sz w:val="20"/>
          <w:szCs w:val="20"/>
          <w:u w:val="single"/>
        </w:rPr>
        <w:t>Operačné riziko</w:t>
      </w:r>
    </w:p>
    <w:p w14:paraId="707B3F12" w14:textId="77777777" w:rsidR="00473B4B" w:rsidRPr="00A52043" w:rsidRDefault="00473B4B" w:rsidP="00473B4B">
      <w:pPr>
        <w:ind w:left="567"/>
        <w:jc w:val="both"/>
        <w:rPr>
          <w:rFonts w:ascii="Arial" w:hAnsi="Arial" w:cs="Arial"/>
          <w:bCs/>
          <w:sz w:val="20"/>
          <w:szCs w:val="20"/>
        </w:rPr>
      </w:pPr>
      <w:r w:rsidRPr="00A52043">
        <w:rPr>
          <w:rFonts w:ascii="Arial" w:hAnsi="Arial" w:cs="Arial"/>
          <w:bCs/>
          <w:sz w:val="20"/>
          <w:szCs w:val="20"/>
        </w:rPr>
        <w:t>Cieľom banky je zmapovať  operačné riziko vo všetkých procesoch a obchodných činnostiach a na základe jeho poznania a analýzy prijímať účinné opatrenia na zmierňovanie dopadov operačného rizika a na zlepšovanie kvality procesov pri zachovaní konkurencieschopnosti banky. Kľúčovým aspektom systému riadenia operačného rizika je aktívna spolupráca všetkých organizačných jednotiek banky, vytváranie širokého povedomia, zabezpečovanie informovanosti a pochopenie prijatých úloh. V oblasti operačného rizika má banka presne vymedzené kompetencie a zodpovednosti v príslušných pracovných postupoch.</w:t>
      </w:r>
    </w:p>
    <w:p w14:paraId="432F8867" w14:textId="24F00DDF" w:rsidR="00473B4B" w:rsidRPr="00A52043" w:rsidRDefault="00473B4B" w:rsidP="00473B4B">
      <w:pPr>
        <w:spacing w:before="120"/>
        <w:ind w:left="567"/>
        <w:jc w:val="both"/>
        <w:rPr>
          <w:rFonts w:ascii="Arial" w:hAnsi="Arial" w:cs="Arial"/>
          <w:bCs/>
          <w:sz w:val="20"/>
          <w:szCs w:val="20"/>
        </w:rPr>
      </w:pPr>
      <w:r w:rsidRPr="00A52043">
        <w:rPr>
          <w:rFonts w:ascii="Arial" w:hAnsi="Arial" w:cs="Arial"/>
          <w:bCs/>
          <w:sz w:val="20"/>
          <w:szCs w:val="20"/>
        </w:rPr>
        <w:t xml:space="preserve">Koordináciu systému riadenia rizík zabezpečuje </w:t>
      </w:r>
      <w:proofErr w:type="spellStart"/>
      <w:r w:rsidR="00E94DBE" w:rsidRPr="00E94DBE">
        <w:rPr>
          <w:rFonts w:ascii="Arial" w:hAnsi="Arial" w:cs="Arial"/>
          <w:bCs/>
          <w:sz w:val="20"/>
          <w:szCs w:val="20"/>
        </w:rPr>
        <w:t>Operational</w:t>
      </w:r>
      <w:proofErr w:type="spellEnd"/>
      <w:r w:rsidR="00E94DBE" w:rsidRPr="00E94DBE">
        <w:rPr>
          <w:rFonts w:ascii="Arial" w:hAnsi="Arial" w:cs="Arial"/>
          <w:bCs/>
          <w:sz w:val="20"/>
          <w:szCs w:val="20"/>
        </w:rPr>
        <w:t xml:space="preserve"> Risk and Business </w:t>
      </w:r>
      <w:proofErr w:type="spellStart"/>
      <w:r w:rsidR="00E94DBE" w:rsidRPr="00E94DBE">
        <w:rPr>
          <w:rFonts w:ascii="Arial" w:hAnsi="Arial" w:cs="Arial"/>
          <w:bCs/>
          <w:sz w:val="20"/>
          <w:szCs w:val="20"/>
        </w:rPr>
        <w:t>Continuity</w:t>
      </w:r>
      <w:proofErr w:type="spellEnd"/>
      <w:r w:rsidR="00E94DBE" w:rsidRPr="00E94DBE">
        <w:rPr>
          <w:rFonts w:ascii="Arial" w:hAnsi="Arial" w:cs="Arial"/>
          <w:bCs/>
          <w:sz w:val="20"/>
          <w:szCs w:val="20"/>
        </w:rPr>
        <w:t xml:space="preserve"> </w:t>
      </w:r>
      <w:proofErr w:type="spellStart"/>
      <w:r w:rsidR="00E94DBE" w:rsidRPr="00E94DBE">
        <w:rPr>
          <w:rFonts w:ascii="Arial" w:hAnsi="Arial" w:cs="Arial"/>
          <w:bCs/>
          <w:sz w:val="20"/>
          <w:szCs w:val="20"/>
        </w:rPr>
        <w:t>Committee</w:t>
      </w:r>
      <w:proofErr w:type="spellEnd"/>
      <w:r w:rsidRPr="00A52043">
        <w:rPr>
          <w:rFonts w:ascii="Arial" w:hAnsi="Arial" w:cs="Arial"/>
          <w:bCs/>
          <w:sz w:val="20"/>
          <w:szCs w:val="20"/>
        </w:rPr>
        <w:t>. Reporty o operačnom riziku sú pravidelne predkladané manažmentu banky i materskej banky a </w:t>
      </w:r>
      <w:proofErr w:type="spellStart"/>
      <w:r w:rsidRPr="00A52043">
        <w:rPr>
          <w:rFonts w:ascii="Arial" w:hAnsi="Arial" w:cs="Arial"/>
          <w:bCs/>
          <w:sz w:val="20"/>
          <w:szCs w:val="20"/>
        </w:rPr>
        <w:t>regulátorovi</w:t>
      </w:r>
      <w:proofErr w:type="spellEnd"/>
      <w:r w:rsidRPr="00A52043">
        <w:rPr>
          <w:rFonts w:ascii="Arial" w:hAnsi="Arial" w:cs="Arial"/>
          <w:bCs/>
          <w:sz w:val="20"/>
          <w:szCs w:val="20"/>
        </w:rPr>
        <w:t>. Nežiaduce prerušenie obchodných činností a ochranu kritických procesov pred následkami závažných chýb a katastrof má banka ošetrené v Plánoch kontinuity obchodných činností.</w:t>
      </w:r>
    </w:p>
    <w:p w14:paraId="1190C2CB" w14:textId="77777777" w:rsidR="00473B4B" w:rsidRPr="00A52043" w:rsidRDefault="00473B4B" w:rsidP="00473B4B">
      <w:pPr>
        <w:overflowPunct w:val="0"/>
        <w:autoSpaceDE w:val="0"/>
        <w:autoSpaceDN w:val="0"/>
        <w:spacing w:before="120"/>
        <w:ind w:left="567"/>
        <w:jc w:val="both"/>
        <w:rPr>
          <w:rFonts w:ascii="Arial" w:hAnsi="Arial" w:cs="Arial"/>
          <w:bCs/>
          <w:sz w:val="20"/>
          <w:szCs w:val="20"/>
        </w:rPr>
      </w:pPr>
      <w:r w:rsidRPr="00A52043">
        <w:rPr>
          <w:rFonts w:ascii="Arial" w:hAnsi="Arial" w:cs="Arial"/>
          <w:bCs/>
          <w:sz w:val="20"/>
          <w:szCs w:val="20"/>
        </w:rPr>
        <w:t>V pravidelnom procese samohodnotenia banka analyzuje významné zdroje rizík, ktorým je vystavená, identifikuje nové riziká a odhaduje pravdepodobnosť ich výskytu a dopad. Banka prijíma opatrenia na zmiernenie a elimináciu operačného rizika, pričom posúdi efektívnosť a nákladovosť navrhovaných opatrení vzhľadom k efektívnosti daného procesu. Okrem samohodnotenia rizík ako ďalšie nástroje pri riadení operačného rizika banka používa systém Kľúčových indikátorov rizika a Analýzu scenárov.</w:t>
      </w:r>
    </w:p>
    <w:p w14:paraId="5D77A606" w14:textId="1BC1F0D9" w:rsidR="00287A3A" w:rsidRDefault="00473B4B" w:rsidP="00C11271">
      <w:pPr>
        <w:ind w:left="567"/>
        <w:jc w:val="both"/>
        <w:rPr>
          <w:rFonts w:ascii="Arial" w:hAnsi="Arial" w:cs="Arial"/>
          <w:bCs/>
          <w:sz w:val="20"/>
          <w:szCs w:val="20"/>
        </w:rPr>
      </w:pPr>
      <w:r w:rsidRPr="00A52043">
        <w:rPr>
          <w:rFonts w:ascii="Arial" w:hAnsi="Arial" w:cs="Arial"/>
          <w:bCs/>
          <w:sz w:val="20"/>
          <w:szCs w:val="20"/>
        </w:rPr>
        <w:t>Databáza zberu udalostí operačného rizika slúži na priebežný monitoring a poskytuje základňu pre hodnotenie efektívnosti prijatých opatrení a nástrojov na zmierňovanie operačného rizika</w:t>
      </w:r>
      <w:r w:rsidR="00C11271" w:rsidRPr="00A52043">
        <w:rPr>
          <w:rFonts w:ascii="Arial" w:hAnsi="Arial" w:cs="Arial"/>
          <w:bCs/>
          <w:sz w:val="20"/>
          <w:szCs w:val="20"/>
        </w:rPr>
        <w:t>. Účelom efektívneho riadenia operačných rizík je nastavenie vnútorných procesov tak, aby vznikajúce škody negatívne pôsobili na výsledok banky v čo najmenšej možnej miere.</w:t>
      </w:r>
    </w:p>
    <w:p w14:paraId="2CDC5552" w14:textId="77777777" w:rsidR="00C11271" w:rsidRPr="00B13FC6" w:rsidRDefault="00C11271" w:rsidP="00C11271">
      <w:pPr>
        <w:ind w:left="567"/>
        <w:jc w:val="both"/>
        <w:rPr>
          <w:rFonts w:ascii="Arial" w:hAnsi="Arial" w:cs="Arial"/>
          <w:b/>
          <w:color w:val="000000" w:themeColor="text1"/>
          <w:sz w:val="26"/>
          <w:szCs w:val="26"/>
        </w:rPr>
      </w:pPr>
    </w:p>
    <w:p w14:paraId="49E83E1C" w14:textId="3F1681A0" w:rsidR="00473B4B" w:rsidRPr="001B6D8A" w:rsidRDefault="00473B4B" w:rsidP="00473B4B">
      <w:pPr>
        <w:jc w:val="center"/>
        <w:rPr>
          <w:rFonts w:ascii="Arial" w:hAnsi="Arial" w:cs="Arial"/>
          <w:b/>
          <w:color w:val="000000" w:themeColor="text1"/>
          <w:sz w:val="26"/>
          <w:szCs w:val="26"/>
        </w:rPr>
      </w:pPr>
      <w:r w:rsidRPr="000901F3">
        <w:rPr>
          <w:rFonts w:ascii="Arial" w:hAnsi="Arial" w:cs="Arial"/>
          <w:b/>
          <w:color w:val="000000" w:themeColor="text1"/>
          <w:sz w:val="26"/>
          <w:szCs w:val="26"/>
        </w:rPr>
        <w:t>Článok 435 ods. 2 – Ciele a politiky riadenia rizík</w:t>
      </w:r>
    </w:p>
    <w:p w14:paraId="6DA39169" w14:textId="77777777" w:rsidR="00473B4B" w:rsidRPr="001B6D8A" w:rsidRDefault="00473B4B" w:rsidP="00473B4B">
      <w:pPr>
        <w:pStyle w:val="ListParagraph"/>
        <w:numPr>
          <w:ilvl w:val="0"/>
          <w:numId w:val="17"/>
        </w:numPr>
        <w:spacing w:line="240" w:lineRule="auto"/>
        <w:rPr>
          <w:rFonts w:ascii="Arial" w:hAnsi="Arial" w:cs="Arial"/>
          <w:b/>
          <w:color w:val="000000" w:themeColor="text1"/>
          <w:sz w:val="20"/>
          <w:szCs w:val="20"/>
        </w:rPr>
      </w:pPr>
      <w:r w:rsidRPr="001B6D8A">
        <w:rPr>
          <w:rFonts w:ascii="Arial" w:hAnsi="Arial" w:cs="Arial"/>
          <w:b/>
          <w:color w:val="000000" w:themeColor="text1"/>
          <w:sz w:val="20"/>
          <w:szCs w:val="20"/>
        </w:rPr>
        <w:t>Počet riadiacich funkcií zastávaných členmi riadiaceho orgánu</w:t>
      </w:r>
    </w:p>
    <w:p w14:paraId="370E4FCC" w14:textId="77777777" w:rsidR="00473B4B" w:rsidRPr="001B6D8A" w:rsidRDefault="00473B4B" w:rsidP="00473B4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 xml:space="preserve">Štatutárnym orgánom banky je predstavenstvo banky, ktoré sa skladá zo štyroch členov. Členovia riadiaceho orgánu zastávajú funkciu člena predstavenstva a traja členovia predstavenstva sú vo funkcii zástupcu generálneho riaditeľa. </w:t>
      </w:r>
    </w:p>
    <w:p w14:paraId="3B181941" w14:textId="77777777" w:rsidR="00473B4B" w:rsidRPr="001B6D8A" w:rsidRDefault="00473B4B" w:rsidP="00473B4B">
      <w:pPr>
        <w:pStyle w:val="ListParagraph"/>
        <w:numPr>
          <w:ilvl w:val="0"/>
          <w:numId w:val="17"/>
        </w:numPr>
        <w:spacing w:line="240" w:lineRule="auto"/>
        <w:rPr>
          <w:rFonts w:ascii="Arial" w:hAnsi="Arial" w:cs="Arial"/>
          <w:b/>
          <w:color w:val="000000" w:themeColor="text1"/>
          <w:sz w:val="20"/>
          <w:szCs w:val="20"/>
        </w:rPr>
      </w:pPr>
      <w:r w:rsidRPr="001B6D8A">
        <w:rPr>
          <w:rFonts w:ascii="Arial" w:hAnsi="Arial" w:cs="Arial"/>
          <w:b/>
          <w:color w:val="000000" w:themeColor="text1"/>
          <w:sz w:val="20"/>
          <w:szCs w:val="20"/>
        </w:rPr>
        <w:t>Politika prijímania pracovníkov pre výber členov riadiaceho orgánu a ich skutočné vedomosti, zručnosti a odborné znalosti</w:t>
      </w:r>
    </w:p>
    <w:p w14:paraId="268DABC8" w14:textId="77777777" w:rsidR="00473B4B" w:rsidRPr="001B6D8A" w:rsidRDefault="00473B4B" w:rsidP="00473B4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Výber členov riadiaceho orgánu sa riadi skupinovou politikou.</w:t>
      </w:r>
    </w:p>
    <w:p w14:paraId="2403D0FA" w14:textId="77777777" w:rsidR="00473B4B" w:rsidRPr="001B6D8A" w:rsidRDefault="00473B4B" w:rsidP="00473B4B">
      <w:pPr>
        <w:pStyle w:val="ListParagraph"/>
        <w:numPr>
          <w:ilvl w:val="0"/>
          <w:numId w:val="17"/>
        </w:numPr>
        <w:spacing w:line="240" w:lineRule="auto"/>
        <w:rPr>
          <w:rFonts w:ascii="Arial" w:hAnsi="Arial" w:cs="Arial"/>
          <w:b/>
          <w:color w:val="000000" w:themeColor="text1"/>
          <w:sz w:val="20"/>
          <w:szCs w:val="20"/>
        </w:rPr>
      </w:pPr>
      <w:r w:rsidRPr="001B6D8A">
        <w:rPr>
          <w:rFonts w:ascii="Arial" w:hAnsi="Arial" w:cs="Arial"/>
          <w:b/>
          <w:color w:val="000000" w:themeColor="text1"/>
          <w:sz w:val="20"/>
          <w:szCs w:val="20"/>
        </w:rPr>
        <w:t>Politika rôznorodosti v súvislosti s výberom členov riadiaceho orgánu, jej ciele a všetky príslušné operatívne ciele stanovené v tejto politike, a mieru, v akej sa tieto ciele splnili</w:t>
      </w:r>
    </w:p>
    <w:p w14:paraId="37E6A855" w14:textId="05DD51CA" w:rsidR="006B69E1" w:rsidRPr="001B6D8A" w:rsidRDefault="006B69E1" w:rsidP="006B69E1">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OTP Banka uplatňuje pri svoj</w:t>
      </w:r>
      <w:r w:rsidR="00E94DBE">
        <w:rPr>
          <w:rFonts w:ascii="Arial" w:hAnsi="Arial" w:cs="Arial"/>
          <w:bCs/>
          <w:color w:val="000000" w:themeColor="text1"/>
          <w:sz w:val="20"/>
          <w:szCs w:val="20"/>
        </w:rPr>
        <w:t>ej</w:t>
      </w:r>
      <w:r w:rsidRPr="001B6D8A">
        <w:rPr>
          <w:rFonts w:ascii="Arial" w:hAnsi="Arial" w:cs="Arial"/>
          <w:bCs/>
          <w:color w:val="000000" w:themeColor="text1"/>
          <w:sz w:val="20"/>
          <w:szCs w:val="20"/>
        </w:rPr>
        <w:t xml:space="preserve"> činnosti politiku rôznorodosti, ktorá vychádza z rešpektovania kultúrnych a individuálnych rozdielov medzi zamestnancami, zabezpečenia rovnosti príležitostí bez ohľadu na vek, pohlavie, náboženstvo alebo národnosť. Dôležitým aspektom tejto politiky je aj rovnosť príležitostí. Základné princípy vzťahujúce sa na činnosť banky zakotvujúce individuálne odlišnosti, ktoré sú bankou akceptované a cenené sú obsiahnuté v Etickom kódexe OTP Banky Slovensko, </w:t>
      </w:r>
      <w:proofErr w:type="spellStart"/>
      <w:r w:rsidRPr="001B6D8A">
        <w:rPr>
          <w:rFonts w:ascii="Arial" w:hAnsi="Arial" w:cs="Arial"/>
          <w:bCs/>
          <w:color w:val="000000" w:themeColor="text1"/>
          <w:sz w:val="20"/>
          <w:szCs w:val="20"/>
        </w:rPr>
        <w:t>a.s</w:t>
      </w:r>
      <w:proofErr w:type="spellEnd"/>
      <w:r w:rsidRPr="001B6D8A">
        <w:rPr>
          <w:rFonts w:ascii="Arial" w:hAnsi="Arial" w:cs="Arial"/>
          <w:bCs/>
          <w:color w:val="000000" w:themeColor="text1"/>
          <w:sz w:val="20"/>
          <w:szCs w:val="20"/>
        </w:rPr>
        <w:t>..</w:t>
      </w:r>
    </w:p>
    <w:p w14:paraId="4605C2F4" w14:textId="642D6972" w:rsidR="00E732EF" w:rsidRPr="00B71B35" w:rsidRDefault="00E732EF" w:rsidP="00E732EF">
      <w:pPr>
        <w:numPr>
          <w:ilvl w:val="0"/>
          <w:numId w:val="17"/>
        </w:numPr>
        <w:spacing w:line="240" w:lineRule="auto"/>
        <w:contextualSpacing/>
        <w:rPr>
          <w:rFonts w:ascii="Arial" w:hAnsi="Arial" w:cs="Arial"/>
          <w:b/>
          <w:color w:val="000000" w:themeColor="text1"/>
          <w:sz w:val="20"/>
          <w:szCs w:val="20"/>
        </w:rPr>
      </w:pPr>
      <w:r w:rsidRPr="00B71B35">
        <w:rPr>
          <w:rFonts w:ascii="Arial" w:hAnsi="Arial" w:cs="Arial"/>
          <w:b/>
          <w:color w:val="000000" w:themeColor="text1"/>
          <w:sz w:val="20"/>
          <w:szCs w:val="20"/>
        </w:rPr>
        <w:t xml:space="preserve">Či inštitúcia zriadila osobitný </w:t>
      </w:r>
      <w:r w:rsidR="00D01853" w:rsidRPr="00B71B35">
        <w:rPr>
          <w:rFonts w:ascii="Arial" w:hAnsi="Arial" w:cs="Arial"/>
          <w:b/>
          <w:color w:val="000000" w:themeColor="text1"/>
          <w:sz w:val="20"/>
          <w:szCs w:val="20"/>
        </w:rPr>
        <w:t xml:space="preserve">Credit risk </w:t>
      </w:r>
      <w:proofErr w:type="spellStart"/>
      <w:r w:rsidR="00D01853" w:rsidRPr="00B71B35">
        <w:rPr>
          <w:rFonts w:ascii="Arial" w:hAnsi="Arial" w:cs="Arial"/>
          <w:b/>
          <w:color w:val="000000" w:themeColor="text1"/>
          <w:sz w:val="20"/>
          <w:szCs w:val="20"/>
        </w:rPr>
        <w:t>Committee</w:t>
      </w:r>
      <w:proofErr w:type="spellEnd"/>
      <w:r w:rsidRPr="00B71B35">
        <w:rPr>
          <w:rFonts w:ascii="Arial" w:hAnsi="Arial" w:cs="Arial"/>
          <w:b/>
          <w:color w:val="000000" w:themeColor="text1"/>
          <w:sz w:val="20"/>
          <w:szCs w:val="20"/>
        </w:rPr>
        <w:t xml:space="preserve"> a počet zasadnutí tohto výboru</w:t>
      </w:r>
    </w:p>
    <w:p w14:paraId="6614EB72" w14:textId="77777777" w:rsidR="00E732EF" w:rsidRPr="00B71B35" w:rsidRDefault="00E732EF" w:rsidP="00E732EF">
      <w:pPr>
        <w:ind w:left="360"/>
        <w:contextualSpacing/>
        <w:jc w:val="both"/>
        <w:rPr>
          <w:rFonts w:ascii="Arial" w:hAnsi="Arial" w:cs="Arial"/>
          <w:bCs/>
          <w:color w:val="000000" w:themeColor="text1"/>
          <w:sz w:val="20"/>
          <w:szCs w:val="20"/>
        </w:rPr>
      </w:pPr>
    </w:p>
    <w:p w14:paraId="4B996854" w14:textId="55E21A5D" w:rsidR="00E732EF" w:rsidRDefault="00E732EF" w:rsidP="00E732EF">
      <w:pPr>
        <w:ind w:left="360"/>
        <w:contextualSpacing/>
        <w:jc w:val="both"/>
        <w:rPr>
          <w:rFonts w:ascii="Arial" w:hAnsi="Arial" w:cs="Arial"/>
          <w:bCs/>
          <w:color w:val="000000" w:themeColor="text1"/>
          <w:sz w:val="20"/>
          <w:szCs w:val="20"/>
        </w:rPr>
      </w:pPr>
      <w:r w:rsidRPr="00B71B35">
        <w:rPr>
          <w:rFonts w:ascii="Arial" w:hAnsi="Arial" w:cs="Arial"/>
          <w:bCs/>
          <w:color w:val="000000" w:themeColor="text1"/>
          <w:sz w:val="20"/>
          <w:szCs w:val="20"/>
        </w:rPr>
        <w:t>Banka má zriadený</w:t>
      </w:r>
      <w:r w:rsidR="00B71B35" w:rsidRPr="00B71B35">
        <w:rPr>
          <w:rFonts w:ascii="Arial" w:hAnsi="Arial" w:cs="Arial"/>
          <w:bCs/>
          <w:color w:val="000000" w:themeColor="text1"/>
          <w:sz w:val="20"/>
          <w:szCs w:val="20"/>
        </w:rPr>
        <w:t xml:space="preserve"> Credit risk </w:t>
      </w:r>
      <w:proofErr w:type="spellStart"/>
      <w:r w:rsidR="00B71B35" w:rsidRPr="00B71B35">
        <w:rPr>
          <w:rFonts w:ascii="Arial" w:hAnsi="Arial" w:cs="Arial"/>
          <w:bCs/>
          <w:color w:val="000000" w:themeColor="text1"/>
          <w:sz w:val="20"/>
          <w:szCs w:val="20"/>
        </w:rPr>
        <w:t>Committee</w:t>
      </w:r>
      <w:proofErr w:type="spellEnd"/>
      <w:r w:rsidRPr="00B71B35">
        <w:rPr>
          <w:rFonts w:ascii="Arial" w:hAnsi="Arial" w:cs="Arial"/>
          <w:bCs/>
          <w:color w:val="000000" w:themeColor="text1"/>
          <w:sz w:val="20"/>
          <w:szCs w:val="20"/>
        </w:rPr>
        <w:t xml:space="preserve">, ktorý v priebehu </w:t>
      </w:r>
      <w:r w:rsidR="00B71B35" w:rsidRPr="00B71B35">
        <w:rPr>
          <w:rFonts w:ascii="Arial" w:hAnsi="Arial" w:cs="Arial"/>
          <w:bCs/>
          <w:color w:val="000000" w:themeColor="text1"/>
          <w:sz w:val="20"/>
          <w:szCs w:val="20"/>
        </w:rPr>
        <w:t>1</w:t>
      </w:r>
      <w:r w:rsidRPr="00B71B35">
        <w:rPr>
          <w:rFonts w:ascii="Arial" w:hAnsi="Arial" w:cs="Arial"/>
          <w:bCs/>
          <w:color w:val="000000" w:themeColor="text1"/>
          <w:sz w:val="20"/>
          <w:szCs w:val="20"/>
        </w:rPr>
        <w:t>. štvrťroka 20</w:t>
      </w:r>
      <w:r w:rsidR="005F5A66" w:rsidRPr="00B71B35">
        <w:rPr>
          <w:rFonts w:ascii="Arial" w:hAnsi="Arial" w:cs="Arial"/>
          <w:bCs/>
          <w:color w:val="000000" w:themeColor="text1"/>
          <w:sz w:val="20"/>
          <w:szCs w:val="20"/>
        </w:rPr>
        <w:t>2</w:t>
      </w:r>
      <w:r w:rsidR="00B71B35" w:rsidRPr="00B71B35">
        <w:rPr>
          <w:rFonts w:ascii="Arial" w:hAnsi="Arial" w:cs="Arial"/>
          <w:bCs/>
          <w:color w:val="000000" w:themeColor="text1"/>
          <w:sz w:val="20"/>
          <w:szCs w:val="20"/>
        </w:rPr>
        <w:t>1</w:t>
      </w:r>
      <w:r w:rsidRPr="00B71B35">
        <w:rPr>
          <w:rFonts w:ascii="Arial" w:hAnsi="Arial" w:cs="Arial"/>
          <w:bCs/>
          <w:color w:val="000000" w:themeColor="text1"/>
          <w:sz w:val="20"/>
          <w:szCs w:val="20"/>
        </w:rPr>
        <w:t xml:space="preserve"> zasadol </w:t>
      </w:r>
      <w:r w:rsidR="00B71B35" w:rsidRPr="00B71B35">
        <w:rPr>
          <w:rFonts w:ascii="Arial" w:hAnsi="Arial" w:cs="Arial"/>
          <w:bCs/>
          <w:color w:val="000000" w:themeColor="text1"/>
          <w:sz w:val="20"/>
          <w:szCs w:val="20"/>
        </w:rPr>
        <w:t>2</w:t>
      </w:r>
      <w:r w:rsidR="00F33F13" w:rsidRPr="00B71B35">
        <w:rPr>
          <w:rFonts w:ascii="Arial" w:hAnsi="Arial" w:cs="Arial"/>
          <w:bCs/>
          <w:color w:val="000000" w:themeColor="text1"/>
          <w:sz w:val="20"/>
          <w:szCs w:val="20"/>
        </w:rPr>
        <w:t>-</w:t>
      </w:r>
      <w:r w:rsidRPr="00B71B35">
        <w:rPr>
          <w:rFonts w:ascii="Arial" w:hAnsi="Arial" w:cs="Arial"/>
          <w:bCs/>
          <w:color w:val="000000" w:themeColor="text1"/>
          <w:sz w:val="20"/>
          <w:szCs w:val="20"/>
        </w:rPr>
        <w:t>krát. Základnou úlohou tohto výboru je:</w:t>
      </w:r>
    </w:p>
    <w:p w14:paraId="5E1A4F1B" w14:textId="749BD85A" w:rsidR="00924E12" w:rsidRDefault="00924E12" w:rsidP="00E732EF">
      <w:pPr>
        <w:ind w:left="360"/>
        <w:contextualSpacing/>
        <w:jc w:val="both"/>
        <w:rPr>
          <w:rFonts w:ascii="Arial" w:hAnsi="Arial" w:cs="Arial"/>
          <w:bCs/>
          <w:color w:val="000000" w:themeColor="text1"/>
          <w:sz w:val="20"/>
          <w:szCs w:val="20"/>
        </w:rPr>
      </w:pPr>
    </w:p>
    <w:p w14:paraId="69437A97" w14:textId="77777777" w:rsidR="00924E12" w:rsidRDefault="00924E12" w:rsidP="00924E12">
      <w:pPr>
        <w:pStyle w:val="ListParagraph"/>
        <w:numPr>
          <w:ilvl w:val="0"/>
          <w:numId w:val="48"/>
        </w:numPr>
        <w:ind w:left="851"/>
        <w:jc w:val="both"/>
        <w:rPr>
          <w:rFonts w:ascii="Arial" w:hAnsi="Arial" w:cs="Arial"/>
          <w:bCs/>
          <w:color w:val="000000" w:themeColor="text1"/>
          <w:sz w:val="20"/>
          <w:szCs w:val="20"/>
        </w:rPr>
      </w:pPr>
      <w:r w:rsidRPr="00924E12">
        <w:rPr>
          <w:rFonts w:ascii="Arial" w:hAnsi="Arial" w:cs="Arial"/>
          <w:bCs/>
          <w:color w:val="000000" w:themeColor="text1"/>
          <w:sz w:val="20"/>
          <w:szCs w:val="20"/>
        </w:rPr>
        <w:t>schvaľuje poskytnutie (vrátane obnovy) produktov banky nesúcich kreditné riziko, najmä úverov, bankových záruk a akreditívov, okrem nadobudnutia dlhových cenných papierov a zmeny zmluvných úverových podmienok a iných podmienok úverového obchodu ovplyvňujúcich kreditné riziko v rozsahu limitov schvaľovacích kompetencií úverového výboru,</w:t>
      </w:r>
    </w:p>
    <w:p w14:paraId="4759135A" w14:textId="4CA82295" w:rsidR="00924E12" w:rsidRPr="00924E12" w:rsidRDefault="00924E12" w:rsidP="00924E12">
      <w:pPr>
        <w:pStyle w:val="ListParagraph"/>
        <w:numPr>
          <w:ilvl w:val="0"/>
          <w:numId w:val="48"/>
        </w:numPr>
        <w:ind w:left="851"/>
        <w:jc w:val="both"/>
        <w:rPr>
          <w:rFonts w:ascii="Arial" w:hAnsi="Arial" w:cs="Arial"/>
          <w:bCs/>
          <w:color w:val="000000" w:themeColor="text1"/>
          <w:sz w:val="20"/>
          <w:szCs w:val="20"/>
        </w:rPr>
      </w:pPr>
      <w:r w:rsidRPr="00924E12">
        <w:rPr>
          <w:rFonts w:ascii="Arial" w:hAnsi="Arial" w:cs="Arial"/>
          <w:bCs/>
          <w:color w:val="000000" w:themeColor="text1"/>
          <w:sz w:val="20"/>
          <w:szCs w:val="20"/>
        </w:rPr>
        <w:t>odporúča, resp. neodporúča predložené návrhy na schválenie, ak je schvaľovanie v kompetencii iného vyššieho schvaľovacieho orgánu banky (Predstavenstva banky, KBC Bank),</w:t>
      </w:r>
    </w:p>
    <w:p w14:paraId="19C7F08E" w14:textId="108D4C05" w:rsidR="00924E12" w:rsidRPr="00924E12" w:rsidRDefault="00924E12" w:rsidP="00924E12">
      <w:pPr>
        <w:pStyle w:val="ListParagraph"/>
        <w:numPr>
          <w:ilvl w:val="0"/>
          <w:numId w:val="48"/>
        </w:numPr>
        <w:ind w:left="851"/>
        <w:jc w:val="both"/>
        <w:rPr>
          <w:rFonts w:ascii="Arial" w:hAnsi="Arial" w:cs="Arial"/>
          <w:bCs/>
          <w:color w:val="000000" w:themeColor="text1"/>
          <w:sz w:val="20"/>
          <w:szCs w:val="20"/>
        </w:rPr>
      </w:pPr>
      <w:r w:rsidRPr="00924E12">
        <w:rPr>
          <w:rFonts w:ascii="Arial" w:hAnsi="Arial" w:cs="Arial"/>
          <w:bCs/>
          <w:color w:val="000000" w:themeColor="text1"/>
          <w:sz w:val="20"/>
          <w:szCs w:val="20"/>
        </w:rPr>
        <w:t>rozhoduje o arbitráži voči rozhodnutiam schvaľovateľov s nižšou kompetenciou.</w:t>
      </w:r>
    </w:p>
    <w:p w14:paraId="6F78B8FA" w14:textId="77777777" w:rsidR="00C60CC2" w:rsidRPr="00B13FC6" w:rsidRDefault="00C60CC2" w:rsidP="00C60CC2">
      <w:pPr>
        <w:pStyle w:val="ListParagraph"/>
        <w:spacing w:after="0"/>
        <w:ind w:left="709" w:hanging="349"/>
        <w:jc w:val="both"/>
        <w:rPr>
          <w:rFonts w:ascii="Arial" w:hAnsi="Arial" w:cs="Arial"/>
          <w:bCs/>
          <w:color w:val="000000" w:themeColor="text1"/>
          <w:sz w:val="20"/>
          <w:szCs w:val="20"/>
        </w:rPr>
      </w:pPr>
    </w:p>
    <w:p w14:paraId="055D34F4" w14:textId="77777777" w:rsidR="009A653B" w:rsidRPr="001B6D8A" w:rsidRDefault="009A653B" w:rsidP="009A653B">
      <w:pPr>
        <w:jc w:val="center"/>
        <w:rPr>
          <w:rFonts w:ascii="Arial" w:hAnsi="Arial" w:cs="Arial"/>
          <w:b/>
          <w:color w:val="000000" w:themeColor="text1"/>
          <w:sz w:val="26"/>
          <w:szCs w:val="26"/>
        </w:rPr>
      </w:pPr>
      <w:r w:rsidRPr="00880AF7">
        <w:rPr>
          <w:rFonts w:ascii="Arial" w:hAnsi="Arial" w:cs="Arial"/>
          <w:b/>
          <w:color w:val="000000" w:themeColor="text1"/>
          <w:sz w:val="26"/>
          <w:szCs w:val="26"/>
        </w:rPr>
        <w:t>Článok 436 – Rozsah uplatňovania</w:t>
      </w:r>
    </w:p>
    <w:p w14:paraId="63C517EE" w14:textId="77777777" w:rsidR="009A653B" w:rsidRPr="001B6D8A" w:rsidRDefault="009A653B" w:rsidP="009A653B">
      <w:pPr>
        <w:pStyle w:val="ListParagraph"/>
        <w:numPr>
          <w:ilvl w:val="0"/>
          <w:numId w:val="18"/>
        </w:numPr>
        <w:spacing w:line="240" w:lineRule="auto"/>
        <w:rPr>
          <w:rFonts w:ascii="Arial" w:hAnsi="Arial" w:cs="Arial"/>
          <w:b/>
          <w:color w:val="000000" w:themeColor="text1"/>
          <w:sz w:val="20"/>
          <w:szCs w:val="20"/>
        </w:rPr>
      </w:pPr>
      <w:r w:rsidRPr="001B6D8A">
        <w:rPr>
          <w:rFonts w:ascii="Arial" w:hAnsi="Arial" w:cs="Arial"/>
          <w:b/>
          <w:color w:val="000000" w:themeColor="text1"/>
          <w:sz w:val="20"/>
          <w:szCs w:val="20"/>
        </w:rPr>
        <w:t>Názov inštitúcie, na ktorú sa uplatňujú požiadavky v zmysle osobitného predpisu</w:t>
      </w:r>
      <w:r w:rsidRPr="001B6D8A">
        <w:rPr>
          <w:rFonts w:ascii="Arial" w:hAnsi="Arial" w:cs="Arial"/>
          <w:b/>
          <w:color w:val="000000" w:themeColor="text1"/>
          <w:sz w:val="26"/>
          <w:szCs w:val="26"/>
          <w:vertAlign w:val="superscript"/>
        </w:rPr>
        <w:t>1)</w:t>
      </w:r>
      <w:r w:rsidRPr="001B6D8A">
        <w:rPr>
          <w:rFonts w:ascii="Arial" w:hAnsi="Arial" w:cs="Arial"/>
          <w:b/>
          <w:color w:val="000000" w:themeColor="text1"/>
          <w:sz w:val="26"/>
          <w:szCs w:val="26"/>
        </w:rPr>
        <w:t xml:space="preserve"> </w:t>
      </w:r>
      <w:r w:rsidRPr="001B6D8A">
        <w:rPr>
          <w:rFonts w:ascii="Arial" w:hAnsi="Arial" w:cs="Arial"/>
          <w:b/>
          <w:color w:val="000000" w:themeColor="text1"/>
          <w:sz w:val="20"/>
          <w:szCs w:val="20"/>
        </w:rPr>
        <w:t xml:space="preserve"> </w:t>
      </w:r>
    </w:p>
    <w:p w14:paraId="1B33F482" w14:textId="77777777" w:rsidR="009A653B" w:rsidRPr="001B6D8A"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 xml:space="preserve">Požiadavky v zmysle osobitného predpisu sa uplatňujú na OTP Banku Slovensko, </w:t>
      </w:r>
      <w:proofErr w:type="spellStart"/>
      <w:r w:rsidRPr="001B6D8A">
        <w:rPr>
          <w:rFonts w:ascii="Arial" w:hAnsi="Arial" w:cs="Arial"/>
          <w:bCs/>
          <w:color w:val="000000" w:themeColor="text1"/>
          <w:sz w:val="20"/>
          <w:szCs w:val="20"/>
        </w:rPr>
        <w:t>a.s</w:t>
      </w:r>
      <w:proofErr w:type="spellEnd"/>
      <w:r w:rsidRPr="001B6D8A">
        <w:rPr>
          <w:rFonts w:ascii="Arial" w:hAnsi="Arial" w:cs="Arial"/>
          <w:bCs/>
          <w:color w:val="000000" w:themeColor="text1"/>
          <w:sz w:val="20"/>
          <w:szCs w:val="20"/>
        </w:rPr>
        <w:t xml:space="preserve">. </w:t>
      </w:r>
    </w:p>
    <w:p w14:paraId="3337DA0C" w14:textId="77777777" w:rsidR="009A653B" w:rsidRPr="001B6D8A" w:rsidRDefault="009A653B" w:rsidP="009A653B">
      <w:pPr>
        <w:pStyle w:val="ListParagraph"/>
        <w:numPr>
          <w:ilvl w:val="0"/>
          <w:numId w:val="18"/>
        </w:numPr>
        <w:spacing w:line="240" w:lineRule="auto"/>
        <w:rPr>
          <w:rFonts w:ascii="Arial" w:hAnsi="Arial" w:cs="Arial"/>
          <w:b/>
          <w:color w:val="000000" w:themeColor="text1"/>
          <w:sz w:val="20"/>
          <w:szCs w:val="20"/>
        </w:rPr>
      </w:pPr>
      <w:r w:rsidRPr="001B6D8A">
        <w:rPr>
          <w:rFonts w:ascii="Arial" w:hAnsi="Arial" w:cs="Arial"/>
          <w:b/>
          <w:color w:val="000000" w:themeColor="text1"/>
          <w:sz w:val="20"/>
          <w:szCs w:val="20"/>
        </w:rPr>
        <w:t xml:space="preserve">Prehľad rozdielov v základoch konsolidácie na účtovné účely a účely </w:t>
      </w:r>
      <w:proofErr w:type="spellStart"/>
      <w:r w:rsidRPr="001B6D8A">
        <w:rPr>
          <w:rFonts w:ascii="Arial" w:hAnsi="Arial" w:cs="Arial"/>
          <w:b/>
          <w:color w:val="000000" w:themeColor="text1"/>
          <w:sz w:val="20"/>
          <w:szCs w:val="20"/>
        </w:rPr>
        <w:t>prudencie</w:t>
      </w:r>
      <w:proofErr w:type="spellEnd"/>
      <w:r w:rsidRPr="001B6D8A">
        <w:rPr>
          <w:rFonts w:ascii="Arial" w:hAnsi="Arial" w:cs="Arial"/>
          <w:b/>
          <w:color w:val="000000" w:themeColor="text1"/>
          <w:sz w:val="20"/>
          <w:szCs w:val="20"/>
        </w:rPr>
        <w:t>, s krátkym opisom subjektov, ktorých sa to týka</w:t>
      </w:r>
    </w:p>
    <w:p w14:paraId="00B4C865" w14:textId="77777777" w:rsidR="009A653B" w:rsidRPr="001B6D8A"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Banka nevykazuje rozdielnu konsolidáciu na účtovné a </w:t>
      </w:r>
      <w:proofErr w:type="spellStart"/>
      <w:r w:rsidRPr="001B6D8A">
        <w:rPr>
          <w:rFonts w:ascii="Arial" w:hAnsi="Arial" w:cs="Arial"/>
          <w:bCs/>
          <w:color w:val="000000" w:themeColor="text1"/>
          <w:sz w:val="20"/>
          <w:szCs w:val="20"/>
        </w:rPr>
        <w:t>prudenciálne</w:t>
      </w:r>
      <w:proofErr w:type="spellEnd"/>
      <w:r w:rsidRPr="001B6D8A">
        <w:rPr>
          <w:rFonts w:ascii="Arial" w:hAnsi="Arial" w:cs="Arial"/>
          <w:bCs/>
          <w:color w:val="000000" w:themeColor="text1"/>
          <w:sz w:val="20"/>
          <w:szCs w:val="20"/>
        </w:rPr>
        <w:t xml:space="preserve"> účely.</w:t>
      </w:r>
    </w:p>
    <w:p w14:paraId="3278697D" w14:textId="77777777" w:rsidR="009A653B" w:rsidRPr="001B6D8A" w:rsidRDefault="009A653B" w:rsidP="000F5CD1">
      <w:pPr>
        <w:pStyle w:val="ListParagraph"/>
        <w:numPr>
          <w:ilvl w:val="0"/>
          <w:numId w:val="18"/>
        </w:numPr>
        <w:spacing w:line="240" w:lineRule="auto"/>
        <w:jc w:val="both"/>
        <w:rPr>
          <w:rFonts w:ascii="Arial" w:hAnsi="Arial" w:cs="Arial"/>
          <w:b/>
          <w:color w:val="000000" w:themeColor="text1"/>
          <w:sz w:val="20"/>
          <w:szCs w:val="20"/>
        </w:rPr>
      </w:pPr>
      <w:r w:rsidRPr="001B6D8A">
        <w:rPr>
          <w:rFonts w:ascii="Arial" w:hAnsi="Arial" w:cs="Arial"/>
          <w:b/>
          <w:color w:val="000000" w:themeColor="text1"/>
          <w:sz w:val="20"/>
          <w:szCs w:val="20"/>
        </w:rPr>
        <w:t>Akékoľvek súčasné alebo predpokladané významné vecné alebo právne prekážky, ktoré bránia okamžitému prevodu vlastných zdrojov alebo splateniu záväzkov medzi materskou spoločnosťou a jej dcérskymi spoločnosťami</w:t>
      </w:r>
    </w:p>
    <w:p w14:paraId="5073ACFD" w14:textId="77777777" w:rsidR="009A653B" w:rsidRPr="001B6D8A"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Banka neeviduje žiadne súčasné alebo predpokladané významné vecné alebo právne prekážky, ktoré bránia okamžitému prevodu vlastných zdrojov alebo splateniu záväzkov medzi materskou spoločnosťou a jej dcérskymi spoločnosťami</w:t>
      </w:r>
    </w:p>
    <w:p w14:paraId="00C03D51" w14:textId="77777777" w:rsidR="009A653B" w:rsidRPr="001B6D8A" w:rsidRDefault="009A653B" w:rsidP="000F5CD1">
      <w:pPr>
        <w:pStyle w:val="ListParagraph"/>
        <w:numPr>
          <w:ilvl w:val="0"/>
          <w:numId w:val="18"/>
        </w:numPr>
        <w:spacing w:line="240" w:lineRule="auto"/>
        <w:jc w:val="both"/>
        <w:rPr>
          <w:rFonts w:ascii="Arial" w:hAnsi="Arial" w:cs="Arial"/>
          <w:b/>
          <w:color w:val="000000" w:themeColor="text1"/>
          <w:sz w:val="20"/>
          <w:szCs w:val="20"/>
        </w:rPr>
      </w:pPr>
      <w:r w:rsidRPr="001B6D8A">
        <w:rPr>
          <w:rFonts w:ascii="Arial" w:hAnsi="Arial" w:cs="Arial"/>
          <w:b/>
          <w:color w:val="000000" w:themeColor="text1"/>
          <w:sz w:val="20"/>
          <w:szCs w:val="20"/>
        </w:rPr>
        <w:t>Celková hodnota rozdielu, o ktorý sú skutočné vlastné zdroje vo všetkých dcérskych spoločnostiach nezahrnutých do konsolidácie nižšie než požadovaná výška týchto zdrojov a názov alebo názvy týchto dcérskych spoločností</w:t>
      </w:r>
    </w:p>
    <w:p w14:paraId="69FD0EA9" w14:textId="77777777" w:rsidR="009A653B" w:rsidRPr="001B6D8A"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 xml:space="preserve">Banka neaplikuje zníženie hodnoty vlastných zdrojov v zmysle tohto ustanovenia. </w:t>
      </w:r>
    </w:p>
    <w:p w14:paraId="2C28591E" w14:textId="77777777" w:rsidR="009A653B" w:rsidRPr="001B6D8A" w:rsidRDefault="009A653B" w:rsidP="000F5CD1">
      <w:pPr>
        <w:pStyle w:val="ListParagraph"/>
        <w:numPr>
          <w:ilvl w:val="0"/>
          <w:numId w:val="18"/>
        </w:numPr>
        <w:spacing w:line="240" w:lineRule="auto"/>
        <w:jc w:val="both"/>
        <w:rPr>
          <w:rFonts w:ascii="Arial" w:hAnsi="Arial" w:cs="Arial"/>
          <w:b/>
          <w:color w:val="000000" w:themeColor="text1"/>
          <w:sz w:val="20"/>
          <w:szCs w:val="20"/>
        </w:rPr>
      </w:pPr>
      <w:r w:rsidRPr="001B6D8A">
        <w:rPr>
          <w:rFonts w:ascii="Arial" w:hAnsi="Arial" w:cs="Arial"/>
          <w:b/>
          <w:color w:val="000000" w:themeColor="text1"/>
          <w:sz w:val="20"/>
          <w:szCs w:val="20"/>
        </w:rPr>
        <w:t>V prípade potreby okolnosť uplatnenia ustanovení uvedených v čl. 7 a 9 v zmysle osobitného predpisu</w:t>
      </w:r>
      <w:r w:rsidRPr="001B6D8A">
        <w:rPr>
          <w:rFonts w:ascii="Arial" w:hAnsi="Arial" w:cs="Arial"/>
          <w:b/>
          <w:color w:val="000000" w:themeColor="text1"/>
          <w:sz w:val="26"/>
          <w:szCs w:val="26"/>
          <w:vertAlign w:val="superscript"/>
        </w:rPr>
        <w:t>1)</w:t>
      </w:r>
    </w:p>
    <w:p w14:paraId="22EF8C2C" w14:textId="77777777" w:rsidR="009A653B" w:rsidRPr="00B13FC6"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Na Banku sa neuplatňujú ustanovenia uvedené v čl. 7 a 9 podľa osobitného predpisu.</w:t>
      </w:r>
    </w:p>
    <w:p w14:paraId="7334F0CA" w14:textId="614BD91F" w:rsidR="00E611FA" w:rsidRPr="00B13FC6" w:rsidRDefault="00E611FA" w:rsidP="009A653B">
      <w:pPr>
        <w:ind w:left="360"/>
        <w:jc w:val="both"/>
        <w:rPr>
          <w:rFonts w:ascii="Arial" w:hAnsi="Arial" w:cs="Arial"/>
          <w:bCs/>
          <w:color w:val="000000" w:themeColor="text1"/>
          <w:sz w:val="20"/>
          <w:szCs w:val="20"/>
        </w:rPr>
      </w:pPr>
    </w:p>
    <w:p w14:paraId="0D123041" w14:textId="36C63FDC" w:rsidR="009A653B" w:rsidRDefault="009A653B" w:rsidP="009A653B">
      <w:pPr>
        <w:jc w:val="center"/>
        <w:rPr>
          <w:rFonts w:ascii="Arial" w:hAnsi="Arial" w:cs="Arial"/>
          <w:b/>
          <w:color w:val="000000" w:themeColor="text1"/>
          <w:sz w:val="26"/>
          <w:szCs w:val="26"/>
        </w:rPr>
      </w:pPr>
      <w:r w:rsidRPr="00880AF7">
        <w:rPr>
          <w:rFonts w:ascii="Arial" w:hAnsi="Arial" w:cs="Arial"/>
          <w:b/>
          <w:color w:val="000000" w:themeColor="text1"/>
          <w:sz w:val="26"/>
          <w:szCs w:val="26"/>
        </w:rPr>
        <w:t>Článok 437 – Vlastné zdroje</w:t>
      </w:r>
    </w:p>
    <w:p w14:paraId="6E8CB8E1" w14:textId="77777777" w:rsidR="000901F3" w:rsidRPr="00B13FC6" w:rsidRDefault="000901F3" w:rsidP="009A653B">
      <w:pPr>
        <w:jc w:val="center"/>
        <w:rPr>
          <w:rFonts w:ascii="Arial" w:hAnsi="Arial" w:cs="Arial"/>
          <w:bCs/>
          <w:color w:val="000000" w:themeColor="text1"/>
          <w:sz w:val="20"/>
          <w:szCs w:val="20"/>
        </w:rPr>
      </w:pPr>
    </w:p>
    <w:p w14:paraId="0DD1ED75" w14:textId="77777777" w:rsidR="009A653B" w:rsidRPr="00B13FC6" w:rsidRDefault="009A653B" w:rsidP="009A653B">
      <w:pPr>
        <w:ind w:right="-144"/>
        <w:rPr>
          <w:rFonts w:ascii="Arial" w:hAnsi="Arial" w:cs="Arial"/>
          <w:b/>
          <w:color w:val="000000" w:themeColor="text1"/>
          <w:sz w:val="20"/>
          <w:szCs w:val="20"/>
        </w:rPr>
      </w:pPr>
      <w:r w:rsidRPr="00024FF2">
        <w:rPr>
          <w:rFonts w:ascii="Arial" w:hAnsi="Arial" w:cs="Arial"/>
          <w:b/>
          <w:color w:val="000000" w:themeColor="text1"/>
          <w:sz w:val="20"/>
          <w:szCs w:val="20"/>
        </w:rPr>
        <w:t>a – f)</w:t>
      </w:r>
    </w:p>
    <w:permStart w:id="109538748" w:edGrp="everyone"/>
    <w:p w14:paraId="498F4BB0" w14:textId="364B0249" w:rsidR="009A653B" w:rsidRPr="00B13FC6" w:rsidRDefault="00DD5557" w:rsidP="009A653B">
      <w:pPr>
        <w:ind w:right="-144"/>
        <w:rPr>
          <w:rFonts w:ascii="Arial" w:hAnsi="Arial" w:cs="Arial"/>
          <w:b/>
          <w:color w:val="000000" w:themeColor="text1"/>
          <w:sz w:val="20"/>
          <w:szCs w:val="20"/>
        </w:rPr>
      </w:pPr>
      <w:r>
        <w:rPr>
          <w:rFonts w:ascii="Arial" w:hAnsi="Arial" w:cs="Arial"/>
          <w:b/>
          <w:color w:val="000000" w:themeColor="text1"/>
          <w:sz w:val="20"/>
          <w:szCs w:val="20"/>
        </w:rPr>
        <w:object w:dxaOrig="1534" w:dyaOrig="991" w14:anchorId="4B1EB82D">
          <v:shape id="_x0000_i1028" type="#_x0000_t75" style="width:75.75pt;height:49.5pt" o:ole="">
            <v:imagedata r:id="rId16" o:title=""/>
          </v:shape>
          <o:OLEObject Type="Embed" ProgID="AcroExch.Document.DC" ShapeID="_x0000_i1028" DrawAspect="Icon" ObjectID="_1682488514" r:id="rId17"/>
        </w:object>
      </w:r>
      <w:permEnd w:id="109538748"/>
    </w:p>
    <w:p w14:paraId="195782E5"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a) </w:t>
      </w:r>
      <w:r w:rsidRPr="00B13FC6">
        <w:rPr>
          <w:rFonts w:ascii="Arial" w:hAnsi="Arial" w:cs="Arial"/>
          <w:b/>
          <w:color w:val="000000" w:themeColor="text1"/>
          <w:sz w:val="20"/>
          <w:szCs w:val="20"/>
        </w:rPr>
        <w:tab/>
        <w:t xml:space="preserve">Úplné zosúladenie položiek vlastného kapitálu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1, dodatočného kapitálu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1, kapitálu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2 a filtrov a odpočtov uplatňovaných podľa čl. 31. - 36, 56, 66 a 79 na vlastné zdroje so súvahou v účtovnej závierke overenej audítorom</w:t>
      </w:r>
    </w:p>
    <w:p w14:paraId="4D454A81" w14:textId="4496F0B4" w:rsidR="009A653B" w:rsidRPr="00B13FC6" w:rsidRDefault="009A653B" w:rsidP="000F5CD1">
      <w:pPr>
        <w:ind w:right="-1" w:firstLine="567"/>
        <w:rPr>
          <w:rFonts w:ascii="Arial" w:hAnsi="Arial" w:cs="Arial"/>
          <w:color w:val="000000" w:themeColor="text1"/>
          <w:sz w:val="20"/>
          <w:szCs w:val="20"/>
        </w:rPr>
      </w:pPr>
      <w:r w:rsidRPr="00B13FC6">
        <w:rPr>
          <w:rFonts w:ascii="Arial" w:hAnsi="Arial" w:cs="Arial"/>
          <w:color w:val="000000" w:themeColor="text1"/>
          <w:sz w:val="20"/>
          <w:szCs w:val="20"/>
        </w:rPr>
        <w:t>uvedené v Účtovnej závie</w:t>
      </w:r>
      <w:r w:rsidR="00CA3AE0" w:rsidRPr="00B13FC6">
        <w:rPr>
          <w:rFonts w:ascii="Arial" w:hAnsi="Arial" w:cs="Arial"/>
          <w:color w:val="000000" w:themeColor="text1"/>
          <w:sz w:val="20"/>
          <w:szCs w:val="20"/>
        </w:rPr>
        <w:t xml:space="preserve">rke za obdobie končiace sa </w:t>
      </w:r>
      <w:r w:rsidR="00E758CD">
        <w:rPr>
          <w:rFonts w:ascii="Arial" w:hAnsi="Arial" w:cs="Arial"/>
          <w:color w:val="000000" w:themeColor="text1"/>
          <w:sz w:val="20"/>
          <w:szCs w:val="20"/>
        </w:rPr>
        <w:t>3</w:t>
      </w:r>
      <w:r w:rsidR="0077686E">
        <w:rPr>
          <w:rFonts w:ascii="Arial" w:hAnsi="Arial" w:cs="Arial"/>
          <w:color w:val="000000" w:themeColor="text1"/>
          <w:sz w:val="20"/>
          <w:szCs w:val="20"/>
        </w:rPr>
        <w:t>1.</w:t>
      </w:r>
      <w:r w:rsidR="00D96A99">
        <w:rPr>
          <w:rFonts w:ascii="Arial" w:hAnsi="Arial" w:cs="Arial"/>
          <w:color w:val="000000" w:themeColor="text1"/>
          <w:sz w:val="20"/>
          <w:szCs w:val="20"/>
        </w:rPr>
        <w:t>03</w:t>
      </w:r>
      <w:r w:rsidR="00E758CD">
        <w:rPr>
          <w:rFonts w:ascii="Arial" w:hAnsi="Arial" w:cs="Arial"/>
          <w:color w:val="000000" w:themeColor="text1"/>
          <w:sz w:val="20"/>
          <w:szCs w:val="20"/>
        </w:rPr>
        <w:t>.202</w:t>
      </w:r>
      <w:r w:rsidR="00D96A99">
        <w:rPr>
          <w:rFonts w:ascii="Arial" w:hAnsi="Arial" w:cs="Arial"/>
          <w:color w:val="000000" w:themeColor="text1"/>
          <w:sz w:val="20"/>
          <w:szCs w:val="20"/>
        </w:rPr>
        <w:t>1</w:t>
      </w:r>
      <w:r w:rsidRPr="00B13FC6">
        <w:rPr>
          <w:rFonts w:ascii="Arial" w:hAnsi="Arial" w:cs="Arial"/>
          <w:color w:val="000000" w:themeColor="text1"/>
          <w:sz w:val="20"/>
          <w:szCs w:val="20"/>
        </w:rPr>
        <w:t>.</w:t>
      </w:r>
    </w:p>
    <w:p w14:paraId="48815ADC"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b) </w:t>
      </w:r>
      <w:r w:rsidRPr="00B13FC6">
        <w:rPr>
          <w:rFonts w:ascii="Arial" w:hAnsi="Arial" w:cs="Arial"/>
          <w:b/>
          <w:color w:val="000000" w:themeColor="text1"/>
          <w:sz w:val="20"/>
          <w:szCs w:val="20"/>
        </w:rPr>
        <w:tab/>
        <w:t xml:space="preserve">Opis hlavných charakteristík emitovaných nástrojov vlastného kapitálu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1, dodatočného kapitálu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1 a nástrojov kapitálu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2</w:t>
      </w:r>
    </w:p>
    <w:p w14:paraId="25878D0E" w14:textId="3F48D888" w:rsidR="009A653B" w:rsidRPr="00B13FC6" w:rsidRDefault="009A653B" w:rsidP="000F5CD1">
      <w:pPr>
        <w:ind w:right="-1" w:firstLine="567"/>
        <w:rPr>
          <w:rFonts w:ascii="Arial" w:hAnsi="Arial" w:cs="Arial"/>
          <w:color w:val="000000" w:themeColor="text1"/>
          <w:sz w:val="20"/>
          <w:szCs w:val="20"/>
        </w:rPr>
      </w:pPr>
      <w:r w:rsidRPr="00B13FC6">
        <w:rPr>
          <w:rFonts w:ascii="Arial" w:hAnsi="Arial" w:cs="Arial"/>
          <w:color w:val="000000" w:themeColor="text1"/>
          <w:sz w:val="20"/>
          <w:szCs w:val="20"/>
        </w:rPr>
        <w:t xml:space="preserve">uvedené v Účtovnej závierke za obdobie končiace sa </w:t>
      </w:r>
      <w:r w:rsidR="00E758CD">
        <w:rPr>
          <w:rFonts w:ascii="Arial" w:hAnsi="Arial" w:cs="Arial"/>
          <w:color w:val="000000" w:themeColor="text1"/>
          <w:sz w:val="20"/>
          <w:szCs w:val="20"/>
        </w:rPr>
        <w:t>3</w:t>
      </w:r>
      <w:r w:rsidR="0077686E">
        <w:rPr>
          <w:rFonts w:ascii="Arial" w:hAnsi="Arial" w:cs="Arial"/>
          <w:color w:val="000000" w:themeColor="text1"/>
          <w:sz w:val="20"/>
          <w:szCs w:val="20"/>
        </w:rPr>
        <w:t>1</w:t>
      </w:r>
      <w:r w:rsidR="00E758CD">
        <w:rPr>
          <w:rFonts w:ascii="Arial" w:hAnsi="Arial" w:cs="Arial"/>
          <w:color w:val="000000" w:themeColor="text1"/>
          <w:sz w:val="20"/>
          <w:szCs w:val="20"/>
        </w:rPr>
        <w:t>.</w:t>
      </w:r>
      <w:r w:rsidR="00D96A99">
        <w:rPr>
          <w:rFonts w:ascii="Arial" w:hAnsi="Arial" w:cs="Arial"/>
          <w:color w:val="000000" w:themeColor="text1"/>
          <w:sz w:val="20"/>
          <w:szCs w:val="20"/>
        </w:rPr>
        <w:t>03</w:t>
      </w:r>
      <w:r w:rsidR="00E758CD">
        <w:rPr>
          <w:rFonts w:ascii="Arial" w:hAnsi="Arial" w:cs="Arial"/>
          <w:color w:val="000000" w:themeColor="text1"/>
          <w:sz w:val="20"/>
          <w:szCs w:val="20"/>
        </w:rPr>
        <w:t>.202</w:t>
      </w:r>
      <w:r w:rsidR="00D96A99">
        <w:rPr>
          <w:rFonts w:ascii="Arial" w:hAnsi="Arial" w:cs="Arial"/>
          <w:color w:val="000000" w:themeColor="text1"/>
          <w:sz w:val="20"/>
          <w:szCs w:val="20"/>
        </w:rPr>
        <w:t>1</w:t>
      </w:r>
      <w:r w:rsidRPr="00B13FC6">
        <w:rPr>
          <w:rFonts w:ascii="Arial" w:hAnsi="Arial" w:cs="Arial"/>
          <w:color w:val="000000" w:themeColor="text1"/>
          <w:sz w:val="20"/>
          <w:szCs w:val="20"/>
        </w:rPr>
        <w:t>.</w:t>
      </w:r>
    </w:p>
    <w:p w14:paraId="611A426B"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c) </w:t>
      </w:r>
      <w:r w:rsidRPr="00B13FC6">
        <w:rPr>
          <w:rFonts w:ascii="Arial" w:hAnsi="Arial" w:cs="Arial"/>
          <w:b/>
          <w:color w:val="000000" w:themeColor="text1"/>
          <w:sz w:val="20"/>
          <w:szCs w:val="20"/>
        </w:rPr>
        <w:tab/>
        <w:t xml:space="preserve">Kompletné podmienky všetkých nástrojov vlastného kapitálu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1, dodatočného kapitálu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1 a </w:t>
      </w:r>
      <w:proofErr w:type="spellStart"/>
      <w:r w:rsidRPr="00B13FC6">
        <w:rPr>
          <w:rFonts w:ascii="Arial" w:hAnsi="Arial" w:cs="Arial"/>
          <w:b/>
          <w:color w:val="000000" w:themeColor="text1"/>
          <w:sz w:val="20"/>
          <w:szCs w:val="20"/>
        </w:rPr>
        <w:t>Tier</w:t>
      </w:r>
      <w:proofErr w:type="spellEnd"/>
      <w:r w:rsidRPr="00B13FC6">
        <w:rPr>
          <w:rFonts w:ascii="Arial" w:hAnsi="Arial" w:cs="Arial"/>
          <w:b/>
          <w:color w:val="000000" w:themeColor="text1"/>
          <w:sz w:val="20"/>
          <w:szCs w:val="20"/>
        </w:rPr>
        <w:t xml:space="preserve"> 2</w:t>
      </w:r>
    </w:p>
    <w:p w14:paraId="4772FF8D" w14:textId="44197BF1" w:rsidR="009A653B" w:rsidRPr="00B13FC6" w:rsidRDefault="009A653B" w:rsidP="000F5CD1">
      <w:pPr>
        <w:ind w:right="-1" w:firstLine="567"/>
        <w:rPr>
          <w:rFonts w:ascii="Arial" w:hAnsi="Arial" w:cs="Arial"/>
          <w:color w:val="000000" w:themeColor="text1"/>
          <w:sz w:val="20"/>
          <w:szCs w:val="20"/>
        </w:rPr>
      </w:pPr>
      <w:r w:rsidRPr="00B13FC6">
        <w:rPr>
          <w:rFonts w:ascii="Arial" w:hAnsi="Arial" w:cs="Arial"/>
          <w:color w:val="000000" w:themeColor="text1"/>
          <w:sz w:val="20"/>
          <w:szCs w:val="20"/>
        </w:rPr>
        <w:t xml:space="preserve">uvedené v Účtovnej závierke za obdobie končiace sa </w:t>
      </w:r>
      <w:r w:rsidR="00E758CD">
        <w:rPr>
          <w:rFonts w:ascii="Arial" w:hAnsi="Arial" w:cs="Arial"/>
          <w:color w:val="000000" w:themeColor="text1"/>
          <w:sz w:val="20"/>
          <w:szCs w:val="20"/>
        </w:rPr>
        <w:t>3</w:t>
      </w:r>
      <w:r w:rsidR="0077686E">
        <w:rPr>
          <w:rFonts w:ascii="Arial" w:hAnsi="Arial" w:cs="Arial"/>
          <w:color w:val="000000" w:themeColor="text1"/>
          <w:sz w:val="20"/>
          <w:szCs w:val="20"/>
        </w:rPr>
        <w:t>1</w:t>
      </w:r>
      <w:r w:rsidR="00E758CD">
        <w:rPr>
          <w:rFonts w:ascii="Arial" w:hAnsi="Arial" w:cs="Arial"/>
          <w:color w:val="000000" w:themeColor="text1"/>
          <w:sz w:val="20"/>
          <w:szCs w:val="20"/>
        </w:rPr>
        <w:t>.</w:t>
      </w:r>
      <w:r w:rsidR="00D96A99">
        <w:rPr>
          <w:rFonts w:ascii="Arial" w:hAnsi="Arial" w:cs="Arial"/>
          <w:color w:val="000000" w:themeColor="text1"/>
          <w:sz w:val="20"/>
          <w:szCs w:val="20"/>
        </w:rPr>
        <w:t>03</w:t>
      </w:r>
      <w:r w:rsidR="00E758CD">
        <w:rPr>
          <w:rFonts w:ascii="Arial" w:hAnsi="Arial" w:cs="Arial"/>
          <w:color w:val="000000" w:themeColor="text1"/>
          <w:sz w:val="20"/>
          <w:szCs w:val="20"/>
        </w:rPr>
        <w:t>.202</w:t>
      </w:r>
      <w:r w:rsidR="00D96A99">
        <w:rPr>
          <w:rFonts w:ascii="Arial" w:hAnsi="Arial" w:cs="Arial"/>
          <w:color w:val="000000" w:themeColor="text1"/>
          <w:sz w:val="20"/>
          <w:szCs w:val="20"/>
        </w:rPr>
        <w:t>1</w:t>
      </w:r>
      <w:r w:rsidRPr="00B13FC6">
        <w:rPr>
          <w:rFonts w:ascii="Arial" w:hAnsi="Arial" w:cs="Arial"/>
          <w:color w:val="000000" w:themeColor="text1"/>
          <w:sz w:val="20"/>
          <w:szCs w:val="20"/>
        </w:rPr>
        <w:t>.</w:t>
      </w:r>
    </w:p>
    <w:p w14:paraId="43A68CEE"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d) </w:t>
      </w:r>
      <w:r w:rsidRPr="00B13FC6">
        <w:rPr>
          <w:rFonts w:ascii="Arial" w:hAnsi="Arial" w:cs="Arial"/>
          <w:b/>
          <w:color w:val="000000" w:themeColor="text1"/>
          <w:sz w:val="20"/>
          <w:szCs w:val="20"/>
        </w:rPr>
        <w:tab/>
        <w:t xml:space="preserve">Osobitné zverejňovanie povahy a výšky </w:t>
      </w:r>
      <w:proofErr w:type="spellStart"/>
      <w:r w:rsidRPr="00B13FC6">
        <w:rPr>
          <w:rFonts w:ascii="Arial" w:hAnsi="Arial" w:cs="Arial"/>
          <w:b/>
          <w:color w:val="000000" w:themeColor="text1"/>
          <w:sz w:val="20"/>
          <w:szCs w:val="20"/>
        </w:rPr>
        <w:t>prudenciálneho</w:t>
      </w:r>
      <w:proofErr w:type="spellEnd"/>
      <w:r w:rsidRPr="00B13FC6">
        <w:rPr>
          <w:rFonts w:ascii="Arial" w:hAnsi="Arial" w:cs="Arial"/>
          <w:b/>
          <w:color w:val="000000" w:themeColor="text1"/>
          <w:sz w:val="20"/>
          <w:szCs w:val="20"/>
        </w:rPr>
        <w:t xml:space="preserve"> filtra, odpočtu a položiek, ktoré sa neodpočítavajú od vlastných zdrojov</w:t>
      </w:r>
    </w:p>
    <w:p w14:paraId="67796970" w14:textId="1F7DEF3C" w:rsidR="009A653B" w:rsidRPr="00B13FC6" w:rsidRDefault="009A653B" w:rsidP="000F5CD1">
      <w:pPr>
        <w:ind w:right="-1" w:firstLine="567"/>
        <w:rPr>
          <w:rFonts w:ascii="Arial" w:hAnsi="Arial" w:cs="Arial"/>
          <w:color w:val="000000" w:themeColor="text1"/>
          <w:sz w:val="20"/>
          <w:szCs w:val="20"/>
        </w:rPr>
      </w:pPr>
      <w:r w:rsidRPr="00B13FC6">
        <w:rPr>
          <w:rFonts w:ascii="Arial" w:hAnsi="Arial" w:cs="Arial"/>
          <w:color w:val="000000" w:themeColor="text1"/>
          <w:sz w:val="20"/>
          <w:szCs w:val="20"/>
        </w:rPr>
        <w:t xml:space="preserve">uvedené v Účtovnej závierke za obdobie končiace sa </w:t>
      </w:r>
      <w:r w:rsidR="00E758CD">
        <w:rPr>
          <w:rFonts w:ascii="Arial" w:hAnsi="Arial" w:cs="Arial"/>
          <w:color w:val="000000" w:themeColor="text1"/>
          <w:sz w:val="20"/>
          <w:szCs w:val="20"/>
        </w:rPr>
        <w:t>3</w:t>
      </w:r>
      <w:r w:rsidR="0077686E">
        <w:rPr>
          <w:rFonts w:ascii="Arial" w:hAnsi="Arial" w:cs="Arial"/>
          <w:color w:val="000000" w:themeColor="text1"/>
          <w:sz w:val="20"/>
          <w:szCs w:val="20"/>
        </w:rPr>
        <w:t>1</w:t>
      </w:r>
      <w:r w:rsidR="00E758CD">
        <w:rPr>
          <w:rFonts w:ascii="Arial" w:hAnsi="Arial" w:cs="Arial"/>
          <w:color w:val="000000" w:themeColor="text1"/>
          <w:sz w:val="20"/>
          <w:szCs w:val="20"/>
        </w:rPr>
        <w:t>.</w:t>
      </w:r>
      <w:r w:rsidR="00D96A99">
        <w:rPr>
          <w:rFonts w:ascii="Arial" w:hAnsi="Arial" w:cs="Arial"/>
          <w:color w:val="000000" w:themeColor="text1"/>
          <w:sz w:val="20"/>
          <w:szCs w:val="20"/>
        </w:rPr>
        <w:t>03</w:t>
      </w:r>
      <w:r w:rsidR="00E758CD">
        <w:rPr>
          <w:rFonts w:ascii="Arial" w:hAnsi="Arial" w:cs="Arial"/>
          <w:color w:val="000000" w:themeColor="text1"/>
          <w:sz w:val="20"/>
          <w:szCs w:val="20"/>
        </w:rPr>
        <w:t>.202</w:t>
      </w:r>
      <w:r w:rsidR="00D96A99">
        <w:rPr>
          <w:rFonts w:ascii="Arial" w:hAnsi="Arial" w:cs="Arial"/>
          <w:color w:val="000000" w:themeColor="text1"/>
          <w:sz w:val="20"/>
          <w:szCs w:val="20"/>
        </w:rPr>
        <w:t>1</w:t>
      </w:r>
      <w:r w:rsidRPr="00B13FC6">
        <w:rPr>
          <w:rFonts w:ascii="Arial" w:hAnsi="Arial" w:cs="Arial"/>
          <w:color w:val="000000" w:themeColor="text1"/>
          <w:sz w:val="20"/>
          <w:szCs w:val="20"/>
        </w:rPr>
        <w:t>.</w:t>
      </w:r>
    </w:p>
    <w:p w14:paraId="183B78FF"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e) </w:t>
      </w:r>
      <w:r w:rsidRPr="00B13FC6">
        <w:rPr>
          <w:rFonts w:ascii="Arial" w:hAnsi="Arial" w:cs="Arial"/>
          <w:b/>
          <w:color w:val="000000" w:themeColor="text1"/>
          <w:sz w:val="20"/>
          <w:szCs w:val="20"/>
        </w:rPr>
        <w:tab/>
        <w:t>Opis všetkých obmedzení uplatňovaných na výpočet vlastných zdrojov v súlade s osobitným predpisom</w:t>
      </w:r>
      <w:r w:rsidRPr="00B13FC6">
        <w:rPr>
          <w:rFonts w:ascii="Arial" w:hAnsi="Arial" w:cs="Arial"/>
          <w:b/>
          <w:color w:val="000000" w:themeColor="text1"/>
          <w:sz w:val="26"/>
          <w:szCs w:val="26"/>
          <w:vertAlign w:val="superscript"/>
        </w:rPr>
        <w:t>1)</w:t>
      </w:r>
      <w:r w:rsidRPr="00B13FC6">
        <w:rPr>
          <w:rFonts w:ascii="Arial" w:hAnsi="Arial" w:cs="Arial"/>
          <w:b/>
          <w:color w:val="000000" w:themeColor="text1"/>
          <w:sz w:val="20"/>
          <w:szCs w:val="20"/>
        </w:rPr>
        <w:t xml:space="preserve"> a nástrojov, </w:t>
      </w:r>
      <w:proofErr w:type="spellStart"/>
      <w:r w:rsidRPr="00B13FC6">
        <w:rPr>
          <w:rFonts w:ascii="Arial" w:hAnsi="Arial" w:cs="Arial"/>
          <w:b/>
          <w:color w:val="000000" w:themeColor="text1"/>
          <w:sz w:val="20"/>
          <w:szCs w:val="20"/>
        </w:rPr>
        <w:t>prudenciálnych</w:t>
      </w:r>
      <w:proofErr w:type="spellEnd"/>
      <w:r w:rsidRPr="00B13FC6">
        <w:rPr>
          <w:rFonts w:ascii="Arial" w:hAnsi="Arial" w:cs="Arial"/>
          <w:b/>
          <w:color w:val="000000" w:themeColor="text1"/>
          <w:sz w:val="20"/>
          <w:szCs w:val="20"/>
        </w:rPr>
        <w:t xml:space="preserve"> filtrov a zrážok, na ktoré sa tieto obmedzenia uplatňujú</w:t>
      </w:r>
    </w:p>
    <w:p w14:paraId="3C9D7DD8" w14:textId="77777777" w:rsidR="009A653B" w:rsidRPr="00B13FC6" w:rsidRDefault="009A653B" w:rsidP="00DD112F">
      <w:pPr>
        <w:ind w:left="567" w:right="-1"/>
        <w:jc w:val="both"/>
        <w:rPr>
          <w:rFonts w:ascii="Arial" w:hAnsi="Arial" w:cs="Arial"/>
          <w:color w:val="000000" w:themeColor="text1"/>
          <w:sz w:val="20"/>
          <w:szCs w:val="20"/>
        </w:rPr>
      </w:pPr>
      <w:r w:rsidRPr="00B13FC6">
        <w:rPr>
          <w:rFonts w:ascii="Arial" w:hAnsi="Arial" w:cs="Arial"/>
          <w:color w:val="000000" w:themeColor="text1"/>
          <w:sz w:val="20"/>
          <w:szCs w:val="20"/>
        </w:rPr>
        <w:t>Banka nepoužíva žiadne obmedzenia uplatňované na výpočet vlastných zdrojov v súlade s osobitným predpisom</w:t>
      </w:r>
      <w:r w:rsidRPr="00B13FC6">
        <w:rPr>
          <w:rFonts w:ascii="Arial" w:hAnsi="Arial" w:cs="Arial"/>
          <w:color w:val="000000" w:themeColor="text1"/>
          <w:sz w:val="20"/>
          <w:szCs w:val="20"/>
          <w:vertAlign w:val="superscript"/>
        </w:rPr>
        <w:t>1)</w:t>
      </w:r>
      <w:r w:rsidRPr="00B13FC6">
        <w:rPr>
          <w:rFonts w:ascii="Arial" w:hAnsi="Arial" w:cs="Arial"/>
          <w:color w:val="000000" w:themeColor="text1"/>
          <w:sz w:val="20"/>
          <w:szCs w:val="20"/>
        </w:rPr>
        <w:t>.</w:t>
      </w:r>
    </w:p>
    <w:p w14:paraId="4D848AE0" w14:textId="77777777" w:rsidR="009A653B" w:rsidRPr="00B13FC6" w:rsidRDefault="009A653B" w:rsidP="000F5CD1">
      <w:pPr>
        <w:ind w:left="567" w:right="-1" w:hanging="567"/>
        <w:jc w:val="both"/>
        <w:rPr>
          <w:rFonts w:ascii="Arial" w:hAnsi="Arial" w:cs="Arial"/>
          <w:b/>
          <w:color w:val="000000" w:themeColor="text1"/>
          <w:sz w:val="20"/>
          <w:szCs w:val="20"/>
        </w:rPr>
      </w:pPr>
      <w:r w:rsidRPr="00B13FC6">
        <w:rPr>
          <w:rFonts w:ascii="Arial" w:hAnsi="Arial" w:cs="Arial"/>
          <w:b/>
          <w:color w:val="000000" w:themeColor="text1"/>
          <w:sz w:val="20"/>
          <w:szCs w:val="20"/>
        </w:rPr>
        <w:t xml:space="preserve">ad f) </w:t>
      </w:r>
      <w:r w:rsidRPr="00B13FC6">
        <w:rPr>
          <w:rFonts w:ascii="Arial" w:hAnsi="Arial" w:cs="Arial"/>
          <w:b/>
          <w:color w:val="000000" w:themeColor="text1"/>
          <w:sz w:val="20"/>
          <w:szCs w:val="20"/>
        </w:rPr>
        <w:tab/>
        <w:t>Ak inštitúcia zverejňuje ukazovatele kapitálovej primeranosti vypočítané s použitím prvkov vlastných zdrojov určených na inom základe než na základe stanovenom v osobitnom predpise</w:t>
      </w:r>
      <w:r w:rsidRPr="00B13FC6">
        <w:rPr>
          <w:rFonts w:ascii="Arial" w:hAnsi="Arial" w:cs="Arial"/>
          <w:b/>
          <w:color w:val="000000" w:themeColor="text1"/>
          <w:sz w:val="26"/>
          <w:szCs w:val="26"/>
          <w:vertAlign w:val="superscript"/>
        </w:rPr>
        <w:t>1)</w:t>
      </w:r>
      <w:r w:rsidRPr="00B13FC6">
        <w:rPr>
          <w:rFonts w:ascii="Arial" w:hAnsi="Arial" w:cs="Arial"/>
          <w:b/>
          <w:color w:val="000000" w:themeColor="text1"/>
          <w:sz w:val="20"/>
          <w:szCs w:val="20"/>
        </w:rPr>
        <w:t>, úplné vysvetlenie, na akom základe sa počítajú tieto ukazovatele kapitálovej primeranosti</w:t>
      </w:r>
    </w:p>
    <w:p w14:paraId="70D0929B" w14:textId="77777777" w:rsidR="009A653B" w:rsidRPr="00B13FC6" w:rsidRDefault="009A653B" w:rsidP="00DD112F">
      <w:pPr>
        <w:ind w:left="567" w:right="-1" w:hanging="567"/>
        <w:jc w:val="both"/>
        <w:rPr>
          <w:rFonts w:ascii="Arial" w:hAnsi="Arial" w:cs="Arial"/>
          <w:color w:val="000000" w:themeColor="text1"/>
          <w:sz w:val="20"/>
          <w:szCs w:val="20"/>
        </w:rPr>
      </w:pPr>
      <w:r w:rsidRPr="00B13FC6">
        <w:rPr>
          <w:rFonts w:ascii="Arial" w:hAnsi="Arial" w:cs="Arial"/>
          <w:color w:val="000000" w:themeColor="text1"/>
          <w:sz w:val="20"/>
          <w:szCs w:val="20"/>
        </w:rPr>
        <w:tab/>
        <w:t>Banka pri výpočte kapitálovej primeranosti nepoužíva prvky vlastných zdrojov určené na inom základe ako na základe stanovenom v osobitnom predpise</w:t>
      </w:r>
      <w:r w:rsidRPr="00B13FC6">
        <w:rPr>
          <w:rFonts w:ascii="Arial" w:hAnsi="Arial" w:cs="Arial"/>
          <w:color w:val="000000" w:themeColor="text1"/>
          <w:sz w:val="20"/>
          <w:szCs w:val="20"/>
          <w:vertAlign w:val="superscript"/>
        </w:rPr>
        <w:t>1)</w:t>
      </w:r>
      <w:r w:rsidRPr="00B13FC6">
        <w:rPr>
          <w:rFonts w:ascii="Arial" w:hAnsi="Arial" w:cs="Arial"/>
          <w:color w:val="000000" w:themeColor="text1"/>
          <w:sz w:val="20"/>
          <w:szCs w:val="20"/>
        </w:rPr>
        <w:t>.</w:t>
      </w:r>
    </w:p>
    <w:p w14:paraId="0945779A" w14:textId="77777777" w:rsidR="00403827" w:rsidRDefault="00403827" w:rsidP="002B4050">
      <w:pPr>
        <w:ind w:right="-1"/>
        <w:jc w:val="center"/>
        <w:rPr>
          <w:rFonts w:ascii="Arial" w:hAnsi="Arial" w:cs="Arial"/>
          <w:b/>
          <w:color w:val="000000" w:themeColor="text1"/>
          <w:sz w:val="26"/>
          <w:szCs w:val="26"/>
        </w:rPr>
      </w:pPr>
    </w:p>
    <w:p w14:paraId="66656193" w14:textId="6B53CF52" w:rsidR="00473B4B" w:rsidRPr="00B13FC6" w:rsidRDefault="00473B4B" w:rsidP="002B4050">
      <w:pPr>
        <w:ind w:right="-1"/>
        <w:jc w:val="center"/>
        <w:rPr>
          <w:rFonts w:ascii="Arial" w:hAnsi="Arial" w:cs="Arial"/>
          <w:bCs/>
          <w:color w:val="000000" w:themeColor="text1"/>
          <w:sz w:val="20"/>
          <w:szCs w:val="20"/>
        </w:rPr>
      </w:pPr>
      <w:r w:rsidRPr="00B13FC6">
        <w:rPr>
          <w:rFonts w:ascii="Arial" w:hAnsi="Arial" w:cs="Arial"/>
          <w:b/>
          <w:color w:val="000000" w:themeColor="text1"/>
          <w:sz w:val="26"/>
          <w:szCs w:val="26"/>
        </w:rPr>
        <w:t>Článok 438 – Kapitálové požiadavky</w:t>
      </w:r>
    </w:p>
    <w:p w14:paraId="5A5D23EF" w14:textId="77777777" w:rsidR="00473B4B" w:rsidRPr="005B3E4E" w:rsidRDefault="00473B4B" w:rsidP="002B4050">
      <w:pPr>
        <w:numPr>
          <w:ilvl w:val="0"/>
          <w:numId w:val="3"/>
        </w:numPr>
        <w:ind w:left="567" w:right="-1" w:hanging="567"/>
        <w:contextualSpacing/>
        <w:rPr>
          <w:rFonts w:ascii="Arial" w:hAnsi="Arial" w:cs="Arial"/>
          <w:b/>
          <w:color w:val="000000" w:themeColor="text1"/>
          <w:sz w:val="20"/>
          <w:szCs w:val="20"/>
        </w:rPr>
      </w:pPr>
      <w:r w:rsidRPr="005B3E4E">
        <w:rPr>
          <w:rFonts w:ascii="Arial" w:hAnsi="Arial" w:cs="Arial"/>
          <w:b/>
          <w:color w:val="000000" w:themeColor="text1"/>
          <w:sz w:val="20"/>
          <w:szCs w:val="20"/>
        </w:rPr>
        <w:t>Súhrnné informácie o prístupe banky k hodnoteniu primeranosti jej vnútorného kapitálu na pokrytie jej súčasných a budúcich činností</w:t>
      </w:r>
    </w:p>
    <w:p w14:paraId="4238785E" w14:textId="77777777" w:rsidR="00473B4B" w:rsidRPr="005B3E4E" w:rsidRDefault="00473B4B" w:rsidP="002B4050">
      <w:pPr>
        <w:spacing w:line="240" w:lineRule="auto"/>
        <w:ind w:left="720" w:right="-1"/>
        <w:contextualSpacing/>
        <w:rPr>
          <w:rFonts w:ascii="Arial" w:hAnsi="Arial" w:cs="Arial"/>
          <w:b/>
          <w:color w:val="000000" w:themeColor="text1"/>
          <w:sz w:val="20"/>
          <w:szCs w:val="20"/>
        </w:rPr>
      </w:pPr>
    </w:p>
    <w:p w14:paraId="0B6E813F" w14:textId="77777777" w:rsidR="00473B4B" w:rsidRPr="005B3E4E" w:rsidRDefault="00473B4B" w:rsidP="002B4050">
      <w:pPr>
        <w:ind w:left="567" w:right="-1"/>
        <w:contextualSpacing/>
        <w:jc w:val="both"/>
        <w:rPr>
          <w:rFonts w:ascii="Arial" w:hAnsi="Arial" w:cs="Arial"/>
          <w:color w:val="000000" w:themeColor="text1"/>
          <w:sz w:val="20"/>
          <w:szCs w:val="20"/>
        </w:rPr>
      </w:pPr>
      <w:r w:rsidRPr="005B3E4E">
        <w:rPr>
          <w:rFonts w:ascii="Arial" w:hAnsi="Arial" w:cs="Arial"/>
          <w:color w:val="000000" w:themeColor="text1"/>
          <w:sz w:val="20"/>
          <w:szCs w:val="20"/>
        </w:rPr>
        <w:t>Manažment banky zabezpečuje používanie primeraného systému riadenia rizík, vývoj tohto systému a udržiavanie primeranej výšky vnútorného kapitálu s ohľadom na rizikový profil banky. V rámci procesu ICAAP banka identifikovala riziká, ktorým je vystavená. Vzhľadom na veľkosť banky a povahu, rozsah a zložitosť činností sa rozhodla po vykonaní analýzy pristúpiť k niektorým rizikám kvalitatívnym a k niektorým rizikám kvantitatívnym prístupom. K vybraným materiálnym rizikám banka vyčísľuje požiadavku na vnútorný kapitál.</w:t>
      </w:r>
    </w:p>
    <w:p w14:paraId="29611239" w14:textId="77777777" w:rsidR="00473B4B" w:rsidRPr="005B3E4E" w:rsidRDefault="00473B4B" w:rsidP="002B4050">
      <w:pPr>
        <w:ind w:left="567" w:right="-1"/>
        <w:contextualSpacing/>
        <w:jc w:val="both"/>
        <w:rPr>
          <w:rFonts w:ascii="Arial" w:hAnsi="Arial" w:cs="Arial"/>
          <w:color w:val="000000" w:themeColor="text1"/>
          <w:sz w:val="20"/>
          <w:szCs w:val="20"/>
        </w:rPr>
      </w:pPr>
    </w:p>
    <w:p w14:paraId="0C04E15D" w14:textId="069A6731" w:rsidR="00473B4B" w:rsidRPr="005B3E4E" w:rsidRDefault="00473B4B" w:rsidP="002B4050">
      <w:pPr>
        <w:ind w:left="567" w:right="-1"/>
        <w:contextualSpacing/>
        <w:jc w:val="both"/>
        <w:rPr>
          <w:rFonts w:ascii="Arial" w:hAnsi="Arial" w:cs="Arial"/>
          <w:color w:val="000000" w:themeColor="text1"/>
          <w:sz w:val="20"/>
          <w:szCs w:val="20"/>
        </w:rPr>
      </w:pPr>
      <w:r w:rsidRPr="005B3E4E">
        <w:rPr>
          <w:rFonts w:ascii="Arial" w:hAnsi="Arial" w:cs="Arial"/>
          <w:color w:val="000000" w:themeColor="text1"/>
          <w:sz w:val="20"/>
          <w:szCs w:val="20"/>
        </w:rPr>
        <w:t xml:space="preserve">U väčšiny rizík banka pri výpočte požiadavky na vnútorný kapitál vychádza z </w:t>
      </w:r>
      <w:proofErr w:type="spellStart"/>
      <w:r w:rsidRPr="005B3E4E">
        <w:rPr>
          <w:rFonts w:ascii="Arial" w:hAnsi="Arial" w:cs="Arial"/>
          <w:color w:val="000000" w:themeColor="text1"/>
          <w:sz w:val="20"/>
          <w:szCs w:val="20"/>
        </w:rPr>
        <w:t>regulatórnych</w:t>
      </w:r>
      <w:proofErr w:type="spellEnd"/>
      <w:r w:rsidRPr="005B3E4E">
        <w:rPr>
          <w:rFonts w:ascii="Arial" w:hAnsi="Arial" w:cs="Arial"/>
          <w:color w:val="000000" w:themeColor="text1"/>
          <w:sz w:val="20"/>
          <w:szCs w:val="20"/>
        </w:rPr>
        <w:t xml:space="preserve"> modelov pre Pilier I. Banka definovala spôsob agregovania požiadaviek na vnútorný kapitál k jednotlivým rizikám do celkovej požiadavky na vnútorný kapitál, ktorý vyjadruje veľkosť podstupovaného rizika. Banka stanovila spôsob určenia výšky vnútorného kapitálu na krytie týchto rizík, definovala spôsob hodnotenia primeranosti vnútorného kapitálu, proces plánovania vnútorného kapitálu, zodpovednosti a kompetencie útvarov  a určila spôsob </w:t>
      </w:r>
      <w:proofErr w:type="spellStart"/>
      <w:r w:rsidRPr="005B3E4E">
        <w:rPr>
          <w:rFonts w:ascii="Arial" w:hAnsi="Arial" w:cs="Arial"/>
          <w:color w:val="000000" w:themeColor="text1"/>
          <w:sz w:val="20"/>
          <w:szCs w:val="20"/>
        </w:rPr>
        <w:t>reportingu</w:t>
      </w:r>
      <w:proofErr w:type="spellEnd"/>
      <w:r w:rsidRPr="005B3E4E">
        <w:rPr>
          <w:rFonts w:ascii="Arial" w:hAnsi="Arial" w:cs="Arial"/>
          <w:color w:val="000000" w:themeColor="text1"/>
          <w:sz w:val="20"/>
          <w:szCs w:val="20"/>
        </w:rPr>
        <w:t>. V procese plánovania aj vyhodnocovania primeranosti vnútorného kapitálu banka spracováva stresové scenáre s dopadom na zdroje vnútorného kapitálu a požiadavku na vnútorný kapitál.</w:t>
      </w:r>
    </w:p>
    <w:p w14:paraId="6C757BD2" w14:textId="77777777" w:rsidR="000F5CD1" w:rsidRPr="009A3D6A" w:rsidRDefault="000F5CD1" w:rsidP="002B4050">
      <w:pPr>
        <w:ind w:left="567" w:right="-1"/>
        <w:contextualSpacing/>
        <w:jc w:val="both"/>
        <w:rPr>
          <w:rFonts w:ascii="Arial" w:hAnsi="Arial" w:cs="Arial"/>
          <w:color w:val="000000" w:themeColor="text1"/>
          <w:sz w:val="20"/>
          <w:szCs w:val="20"/>
          <w:highlight w:val="lightGray"/>
        </w:rPr>
      </w:pPr>
    </w:p>
    <w:p w14:paraId="3246594B" w14:textId="5670C98A" w:rsidR="00473B4B" w:rsidRPr="005B3E4E" w:rsidRDefault="00473B4B" w:rsidP="00024FF2">
      <w:pPr>
        <w:ind w:left="567" w:right="-1"/>
        <w:jc w:val="both"/>
        <w:rPr>
          <w:rFonts w:ascii="Arial" w:hAnsi="Arial" w:cs="Arial"/>
          <w:color w:val="000000" w:themeColor="text1"/>
          <w:sz w:val="20"/>
          <w:szCs w:val="20"/>
        </w:rPr>
      </w:pPr>
      <w:r w:rsidRPr="005B3E4E">
        <w:rPr>
          <w:rFonts w:ascii="Arial" w:hAnsi="Arial" w:cs="Arial"/>
          <w:color w:val="000000" w:themeColor="text1"/>
          <w:sz w:val="20"/>
          <w:szCs w:val="20"/>
        </w:rPr>
        <w:t>Celkovú požiadavku na vnútorný kapitál banky tvoria požiadavky na vlastné zdroje na krytie kreditného rizika, trhového rizika, operačného rizika, úrokového rizika bankovej k</w:t>
      </w:r>
      <w:r w:rsidR="00024FF2" w:rsidRPr="005B3E4E">
        <w:rPr>
          <w:rFonts w:ascii="Arial" w:hAnsi="Arial" w:cs="Arial"/>
          <w:color w:val="000000" w:themeColor="text1"/>
          <w:sz w:val="20"/>
          <w:szCs w:val="20"/>
        </w:rPr>
        <w:t xml:space="preserve">nihy a devízového rizika. </w:t>
      </w:r>
      <w:r w:rsidR="007B77B8" w:rsidRPr="005B3E4E">
        <w:rPr>
          <w:rFonts w:ascii="Arial" w:hAnsi="Arial" w:cs="Arial"/>
          <w:color w:val="000000" w:themeColor="text1"/>
          <w:sz w:val="20"/>
          <w:szCs w:val="20"/>
        </w:rPr>
        <w:t xml:space="preserve">K </w:t>
      </w:r>
      <w:r w:rsidR="00E758CD" w:rsidRPr="005B3E4E">
        <w:rPr>
          <w:rFonts w:ascii="Arial" w:hAnsi="Arial" w:cs="Arial"/>
          <w:color w:val="000000" w:themeColor="text1"/>
          <w:sz w:val="20"/>
          <w:szCs w:val="20"/>
        </w:rPr>
        <w:t>3</w:t>
      </w:r>
      <w:r w:rsidR="00032874" w:rsidRPr="005B3E4E">
        <w:rPr>
          <w:rFonts w:ascii="Arial" w:hAnsi="Arial" w:cs="Arial"/>
          <w:color w:val="000000" w:themeColor="text1"/>
          <w:sz w:val="20"/>
          <w:szCs w:val="20"/>
        </w:rPr>
        <w:t>1</w:t>
      </w:r>
      <w:r w:rsidR="00E758CD" w:rsidRPr="005B3E4E">
        <w:rPr>
          <w:rFonts w:ascii="Arial" w:hAnsi="Arial" w:cs="Arial"/>
          <w:color w:val="000000" w:themeColor="text1"/>
          <w:sz w:val="20"/>
          <w:szCs w:val="20"/>
        </w:rPr>
        <w:t>.</w:t>
      </w:r>
      <w:r w:rsidR="005B3E4E" w:rsidRPr="005B3E4E">
        <w:rPr>
          <w:rFonts w:ascii="Arial" w:hAnsi="Arial" w:cs="Arial"/>
          <w:color w:val="000000" w:themeColor="text1"/>
          <w:sz w:val="20"/>
          <w:szCs w:val="20"/>
        </w:rPr>
        <w:t>03</w:t>
      </w:r>
      <w:r w:rsidR="00E758CD" w:rsidRPr="005B3E4E">
        <w:rPr>
          <w:rFonts w:ascii="Arial" w:hAnsi="Arial" w:cs="Arial"/>
          <w:color w:val="000000" w:themeColor="text1"/>
          <w:sz w:val="20"/>
          <w:szCs w:val="20"/>
        </w:rPr>
        <w:t>.202</w:t>
      </w:r>
      <w:r w:rsidR="005B3E4E" w:rsidRPr="005B3E4E">
        <w:rPr>
          <w:rFonts w:ascii="Arial" w:hAnsi="Arial" w:cs="Arial"/>
          <w:color w:val="000000" w:themeColor="text1"/>
          <w:sz w:val="20"/>
          <w:szCs w:val="20"/>
        </w:rPr>
        <w:t>1</w:t>
      </w:r>
      <w:r w:rsidRPr="005B3E4E">
        <w:rPr>
          <w:rFonts w:ascii="Arial" w:hAnsi="Arial" w:cs="Arial"/>
          <w:color w:val="000000" w:themeColor="text1"/>
          <w:sz w:val="20"/>
          <w:szCs w:val="20"/>
        </w:rPr>
        <w:t xml:space="preserve"> vykázala banka celkovú požiadavku na vnútorný kapitál, vrátane kapitálového vankúša a výsledkov stresového testovania vo výške </w:t>
      </w:r>
      <w:r w:rsidR="00024FF2" w:rsidRPr="005B3E4E">
        <w:rPr>
          <w:rFonts w:ascii="Arial" w:hAnsi="Arial" w:cs="Arial"/>
          <w:color w:val="000000" w:themeColor="text1"/>
          <w:sz w:val="20"/>
          <w:szCs w:val="20"/>
        </w:rPr>
        <w:t>9</w:t>
      </w:r>
      <w:r w:rsidR="005B3E4E" w:rsidRPr="005B3E4E">
        <w:rPr>
          <w:rFonts w:ascii="Arial" w:hAnsi="Arial" w:cs="Arial"/>
          <w:color w:val="000000" w:themeColor="text1"/>
          <w:sz w:val="20"/>
          <w:szCs w:val="20"/>
        </w:rPr>
        <w:t>5</w:t>
      </w:r>
      <w:r w:rsidR="00024FF2" w:rsidRPr="005B3E4E">
        <w:rPr>
          <w:rFonts w:ascii="Arial" w:hAnsi="Arial" w:cs="Arial"/>
          <w:color w:val="000000" w:themeColor="text1"/>
          <w:sz w:val="20"/>
          <w:szCs w:val="20"/>
        </w:rPr>
        <w:t>,</w:t>
      </w:r>
      <w:r w:rsidR="005B3E4E" w:rsidRPr="005B3E4E">
        <w:rPr>
          <w:rFonts w:ascii="Arial" w:hAnsi="Arial" w:cs="Arial"/>
          <w:color w:val="000000" w:themeColor="text1"/>
          <w:sz w:val="20"/>
          <w:szCs w:val="20"/>
        </w:rPr>
        <w:t>5</w:t>
      </w:r>
      <w:r w:rsidRPr="005B3E4E">
        <w:rPr>
          <w:rFonts w:ascii="Arial" w:hAnsi="Arial" w:cs="Arial"/>
          <w:color w:val="000000" w:themeColor="text1"/>
          <w:sz w:val="20"/>
          <w:szCs w:val="20"/>
        </w:rPr>
        <w:t xml:space="preserve"> mil. EUR, pričom banka disponovala </w:t>
      </w:r>
      <w:r w:rsidR="007B77B8" w:rsidRPr="005B3E4E">
        <w:rPr>
          <w:rFonts w:ascii="Arial" w:hAnsi="Arial" w:cs="Arial"/>
          <w:color w:val="000000" w:themeColor="text1"/>
          <w:sz w:val="20"/>
          <w:szCs w:val="20"/>
        </w:rPr>
        <w:t xml:space="preserve">vnútorným kapitálom vo výške </w:t>
      </w:r>
      <w:r w:rsidR="005B3E4E" w:rsidRPr="005B3E4E">
        <w:rPr>
          <w:rFonts w:ascii="Arial" w:hAnsi="Arial" w:cs="Arial"/>
          <w:color w:val="000000" w:themeColor="text1"/>
          <w:sz w:val="20"/>
          <w:szCs w:val="20"/>
        </w:rPr>
        <w:t>126,5</w:t>
      </w:r>
      <w:r w:rsidRPr="005B3E4E">
        <w:rPr>
          <w:rFonts w:ascii="Arial" w:hAnsi="Arial" w:cs="Arial"/>
          <w:color w:val="000000" w:themeColor="text1"/>
          <w:sz w:val="20"/>
          <w:szCs w:val="20"/>
        </w:rPr>
        <w:t xml:space="preserve"> mil. EUR. </w:t>
      </w:r>
    </w:p>
    <w:p w14:paraId="4FDC680A" w14:textId="0E1BCC93" w:rsidR="00473B4B" w:rsidRPr="00B13FC6" w:rsidRDefault="00473B4B" w:rsidP="002B4050">
      <w:pPr>
        <w:ind w:left="567" w:right="-1"/>
        <w:contextualSpacing/>
        <w:jc w:val="both"/>
        <w:rPr>
          <w:rFonts w:ascii="Arial" w:hAnsi="Arial" w:cs="Arial"/>
          <w:color w:val="000000" w:themeColor="text1"/>
          <w:sz w:val="20"/>
          <w:szCs w:val="20"/>
        </w:rPr>
      </w:pPr>
      <w:r w:rsidRPr="005B3E4E">
        <w:rPr>
          <w:rFonts w:ascii="Arial" w:hAnsi="Arial" w:cs="Arial"/>
          <w:color w:val="000000" w:themeColor="text1"/>
          <w:sz w:val="20"/>
          <w:szCs w:val="20"/>
        </w:rPr>
        <w:t>Proces ohodnocovania primeranosti vnútorného kapitálu je proces vyvinutý a riadený bankou a je pravidelne prehodnocovaný riadiacimi orgánmi banky a orgánmi dohľadu</w:t>
      </w:r>
      <w:r w:rsidR="00FA6538" w:rsidRPr="005B3E4E">
        <w:rPr>
          <w:rFonts w:ascii="Arial" w:hAnsi="Arial" w:cs="Arial"/>
          <w:color w:val="000000" w:themeColor="text1"/>
          <w:sz w:val="20"/>
          <w:szCs w:val="20"/>
        </w:rPr>
        <w:t>.</w:t>
      </w:r>
      <w:r w:rsidRPr="00FA6538">
        <w:rPr>
          <w:rFonts w:ascii="Arial" w:hAnsi="Arial" w:cs="Arial"/>
          <w:color w:val="000000" w:themeColor="text1"/>
          <w:sz w:val="20"/>
          <w:szCs w:val="20"/>
        </w:rPr>
        <w:t xml:space="preserve"> </w:t>
      </w:r>
    </w:p>
    <w:p w14:paraId="4F0B8E5F" w14:textId="77777777" w:rsidR="00C60CC2" w:rsidRPr="00B13FC6" w:rsidRDefault="00C60CC2" w:rsidP="002B4050">
      <w:pPr>
        <w:pStyle w:val="ListParagraph"/>
        <w:spacing w:line="240" w:lineRule="auto"/>
        <w:ind w:right="-1"/>
        <w:jc w:val="both"/>
        <w:rPr>
          <w:rFonts w:ascii="Arial" w:hAnsi="Arial" w:cs="Arial"/>
          <w:sz w:val="20"/>
          <w:szCs w:val="20"/>
        </w:rPr>
      </w:pPr>
    </w:p>
    <w:p w14:paraId="0961BE90" w14:textId="77777777" w:rsidR="00C60CC2" w:rsidRPr="00880AF7" w:rsidRDefault="00C60CC2" w:rsidP="002B4050">
      <w:pPr>
        <w:pStyle w:val="ListParagraph"/>
        <w:numPr>
          <w:ilvl w:val="0"/>
          <w:numId w:val="3"/>
        </w:numPr>
        <w:ind w:left="567" w:right="-1" w:hanging="501"/>
        <w:rPr>
          <w:rFonts w:ascii="Arial" w:hAnsi="Arial" w:cs="Arial"/>
          <w:b/>
          <w:sz w:val="20"/>
          <w:szCs w:val="20"/>
        </w:rPr>
      </w:pPr>
      <w:r w:rsidRPr="00880AF7">
        <w:rPr>
          <w:rFonts w:ascii="Arial" w:hAnsi="Arial" w:cs="Arial"/>
          <w:b/>
          <w:sz w:val="20"/>
          <w:szCs w:val="20"/>
        </w:rPr>
        <w:t>Výsledok interného procesu inštitúcie na posudzovanie kapitálovej primeranosti (na žiadosť NBS) vrátane zloženia dodatočných požiadaviek na vlastné zdroje založených na postupe preskúmania dohľadom</w:t>
      </w:r>
    </w:p>
    <w:p w14:paraId="05D84AF2" w14:textId="09C8BF97" w:rsidR="00C60CC2" w:rsidRPr="00880AF7" w:rsidRDefault="00C60CC2" w:rsidP="002B4050">
      <w:pPr>
        <w:ind w:left="567" w:right="-1"/>
        <w:jc w:val="both"/>
        <w:rPr>
          <w:rFonts w:ascii="Arial" w:hAnsi="Arial" w:cs="Arial"/>
          <w:bCs/>
          <w:sz w:val="20"/>
          <w:szCs w:val="20"/>
        </w:rPr>
      </w:pPr>
      <w:r w:rsidRPr="00880AF7">
        <w:rPr>
          <w:rFonts w:ascii="Arial" w:hAnsi="Arial" w:cs="Arial"/>
          <w:bCs/>
          <w:sz w:val="20"/>
          <w:szCs w:val="20"/>
        </w:rPr>
        <w:t>Na Banku sa neuplatňuje ustanovenie v zmysle tohto písmena.</w:t>
      </w:r>
    </w:p>
    <w:p w14:paraId="55BFD4F8" w14:textId="77777777" w:rsidR="00C60CC2" w:rsidRPr="00880AF7" w:rsidRDefault="00C60CC2" w:rsidP="002B4050">
      <w:pPr>
        <w:pStyle w:val="ListParagraph"/>
        <w:numPr>
          <w:ilvl w:val="0"/>
          <w:numId w:val="3"/>
        </w:numPr>
        <w:ind w:left="567" w:right="-1" w:hanging="501"/>
        <w:rPr>
          <w:rFonts w:ascii="Arial" w:hAnsi="Arial" w:cs="Arial"/>
          <w:b/>
          <w:color w:val="000000" w:themeColor="text1"/>
          <w:sz w:val="20"/>
          <w:szCs w:val="20"/>
        </w:rPr>
      </w:pPr>
      <w:r w:rsidRPr="00880AF7">
        <w:rPr>
          <w:rFonts w:ascii="Arial" w:hAnsi="Arial" w:cs="Arial"/>
          <w:b/>
          <w:color w:val="000000" w:themeColor="text1"/>
          <w:sz w:val="20"/>
          <w:szCs w:val="20"/>
        </w:rPr>
        <w:t>8 % hodnôt rizikovo vážených expozícií pre každú triedu expozícií (kreditné riziko - štandardizovaný prístup výpočtu RWA):</w:t>
      </w:r>
    </w:p>
    <w:tbl>
      <w:tblPr>
        <w:tblW w:w="6900" w:type="dxa"/>
        <w:jc w:val="center"/>
        <w:tblCellMar>
          <w:left w:w="70" w:type="dxa"/>
          <w:right w:w="70" w:type="dxa"/>
        </w:tblCellMar>
        <w:tblLook w:val="04A0" w:firstRow="1" w:lastRow="0" w:firstColumn="1" w:lastColumn="0" w:noHBand="0" w:noVBand="1"/>
      </w:tblPr>
      <w:tblGrid>
        <w:gridCol w:w="5780"/>
        <w:gridCol w:w="1120"/>
      </w:tblGrid>
      <w:tr w:rsidR="00D450BE" w:rsidRPr="00024FF2" w14:paraId="14154221" w14:textId="77777777" w:rsidTr="008E6FA8">
        <w:trPr>
          <w:trHeight w:val="300"/>
          <w:jc w:val="center"/>
        </w:trPr>
        <w:tc>
          <w:tcPr>
            <w:tcW w:w="5780" w:type="dxa"/>
            <w:tcBorders>
              <w:top w:val="nil"/>
              <w:left w:val="nil"/>
              <w:bottom w:val="nil"/>
              <w:right w:val="nil"/>
            </w:tcBorders>
            <w:shd w:val="clear" w:color="auto" w:fill="auto"/>
            <w:noWrap/>
            <w:vAlign w:val="bottom"/>
            <w:hideMark/>
          </w:tcPr>
          <w:p w14:paraId="32E477C1" w14:textId="77777777" w:rsidR="00D450BE" w:rsidRPr="00B13FC6" w:rsidRDefault="00D450BE" w:rsidP="002B4050">
            <w:pPr>
              <w:spacing w:after="0" w:line="240" w:lineRule="auto"/>
              <w:ind w:right="-1"/>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14:paraId="01D2EE86" w14:textId="04F89965" w:rsidR="00D450BE" w:rsidRPr="00024FF2" w:rsidRDefault="00D450BE" w:rsidP="002B4050">
            <w:pPr>
              <w:spacing w:after="0" w:line="240" w:lineRule="auto"/>
              <w:ind w:right="-1"/>
              <w:jc w:val="right"/>
              <w:rPr>
                <w:rFonts w:ascii="Calibri" w:eastAsia="Times New Roman" w:hAnsi="Calibri" w:cs="Times New Roman"/>
                <w:color w:val="000000"/>
              </w:rPr>
            </w:pPr>
            <w:r w:rsidRPr="00024FF2">
              <w:rPr>
                <w:rFonts w:ascii="Calibri" w:eastAsia="Times New Roman" w:hAnsi="Calibri" w:cs="Times New Roman"/>
                <w:color w:val="000000"/>
              </w:rPr>
              <w:t>v tis. EUR</w:t>
            </w:r>
          </w:p>
        </w:tc>
      </w:tr>
      <w:tr w:rsidR="00D450BE" w:rsidRPr="00024FF2" w14:paraId="205DC56D" w14:textId="77777777" w:rsidTr="008E6FA8">
        <w:trPr>
          <w:trHeight w:val="300"/>
          <w:jc w:val="center"/>
        </w:trPr>
        <w:tc>
          <w:tcPr>
            <w:tcW w:w="5780" w:type="dxa"/>
            <w:tcBorders>
              <w:top w:val="single" w:sz="4" w:space="0" w:color="auto"/>
              <w:left w:val="nil"/>
              <w:bottom w:val="single" w:sz="4" w:space="0" w:color="auto"/>
              <w:right w:val="nil"/>
            </w:tcBorders>
            <w:shd w:val="clear" w:color="auto" w:fill="auto"/>
            <w:noWrap/>
            <w:vAlign w:val="bottom"/>
            <w:hideMark/>
          </w:tcPr>
          <w:p w14:paraId="0E96AF5B" w14:textId="2DEDD8B9" w:rsidR="00D450BE" w:rsidRPr="00024FF2" w:rsidRDefault="00D450BE" w:rsidP="002B4050">
            <w:pPr>
              <w:spacing w:after="0" w:line="240" w:lineRule="auto"/>
              <w:ind w:right="-1"/>
              <w:jc w:val="center"/>
              <w:rPr>
                <w:rFonts w:eastAsia="Times New Roman" w:cs="Times New Roman"/>
                <w:b/>
                <w:bCs/>
                <w:color w:val="000000"/>
              </w:rPr>
            </w:pPr>
            <w:r w:rsidRPr="00024FF2">
              <w:rPr>
                <w:rFonts w:eastAsia="Times New Roman" w:cs="Times New Roman"/>
                <w:b/>
                <w:bCs/>
                <w:color w:val="000000"/>
              </w:rPr>
              <w:t>Ukazovateľ</w:t>
            </w:r>
          </w:p>
        </w:tc>
        <w:tc>
          <w:tcPr>
            <w:tcW w:w="1120" w:type="dxa"/>
            <w:tcBorders>
              <w:top w:val="single" w:sz="4" w:space="0" w:color="auto"/>
              <w:left w:val="nil"/>
              <w:bottom w:val="single" w:sz="4" w:space="0" w:color="auto"/>
              <w:right w:val="nil"/>
            </w:tcBorders>
            <w:shd w:val="clear" w:color="auto" w:fill="auto"/>
            <w:noWrap/>
            <w:vAlign w:val="bottom"/>
            <w:hideMark/>
          </w:tcPr>
          <w:p w14:paraId="45D1E57D" w14:textId="4F0E1A72" w:rsidR="00D450BE" w:rsidRPr="00024FF2" w:rsidRDefault="00D450BE" w:rsidP="002B4050">
            <w:pPr>
              <w:spacing w:after="0" w:line="240" w:lineRule="auto"/>
              <w:ind w:right="-1"/>
              <w:jc w:val="center"/>
              <w:rPr>
                <w:rFonts w:eastAsia="Times New Roman" w:cs="Times New Roman"/>
                <w:b/>
                <w:bCs/>
                <w:color w:val="000000"/>
              </w:rPr>
            </w:pPr>
            <w:r w:rsidRPr="00024FF2">
              <w:rPr>
                <w:rFonts w:eastAsia="Times New Roman" w:cs="Times New Roman"/>
                <w:b/>
                <w:bCs/>
                <w:color w:val="000000"/>
              </w:rPr>
              <w:t> </w:t>
            </w:r>
          </w:p>
        </w:tc>
      </w:tr>
      <w:tr w:rsidR="005B5A40" w:rsidRPr="00024FF2" w14:paraId="7D5CA89E" w14:textId="77777777" w:rsidTr="00433577">
        <w:trPr>
          <w:trHeight w:val="300"/>
          <w:jc w:val="center"/>
        </w:trPr>
        <w:tc>
          <w:tcPr>
            <w:tcW w:w="5780" w:type="dxa"/>
            <w:tcBorders>
              <w:top w:val="nil"/>
              <w:left w:val="nil"/>
              <w:bottom w:val="nil"/>
              <w:right w:val="nil"/>
            </w:tcBorders>
            <w:shd w:val="clear" w:color="auto" w:fill="auto"/>
            <w:vAlign w:val="center"/>
            <w:hideMark/>
          </w:tcPr>
          <w:p w14:paraId="486BB858" w14:textId="46C916E4" w:rsidR="005B5A40" w:rsidRPr="00024FF2" w:rsidRDefault="005B5A40" w:rsidP="005B5A40">
            <w:pPr>
              <w:spacing w:after="0" w:line="240" w:lineRule="auto"/>
              <w:ind w:right="-1" w:firstLineChars="100" w:firstLine="220"/>
              <w:rPr>
                <w:rFonts w:eastAsia="Times New Roman" w:cs="Times New Roman"/>
                <w:b/>
                <w:bCs/>
              </w:rPr>
            </w:pPr>
            <w:r w:rsidRPr="00024FF2">
              <w:rPr>
                <w:rFonts w:eastAsia="Times New Roman" w:cs="Times New Roman"/>
                <w:b/>
                <w:bCs/>
              </w:rPr>
              <w:t>Štandardizovaný prístup (SA)</w:t>
            </w:r>
            <w:r w:rsidRPr="00024FF2">
              <w:rPr>
                <w:rStyle w:val="FootnoteReference"/>
                <w:rFonts w:eastAsia="Times New Roman" w:cs="Times New Roman"/>
                <w:b/>
                <w:bCs/>
              </w:rPr>
              <w:footnoteReference w:id="2"/>
            </w:r>
            <w:r w:rsidRPr="00024FF2">
              <w:rPr>
                <w:rFonts w:eastAsia="Times New Roman" w:cs="Times New Roman"/>
                <w:b/>
                <w:bCs/>
                <w:vertAlign w:val="superscript"/>
              </w:rPr>
              <w:t>)</w:t>
            </w:r>
          </w:p>
        </w:tc>
        <w:tc>
          <w:tcPr>
            <w:tcW w:w="1120" w:type="dxa"/>
            <w:tcBorders>
              <w:top w:val="nil"/>
              <w:left w:val="nil"/>
              <w:bottom w:val="nil"/>
              <w:right w:val="nil"/>
            </w:tcBorders>
            <w:shd w:val="clear" w:color="auto" w:fill="auto"/>
            <w:noWrap/>
            <w:hideMark/>
          </w:tcPr>
          <w:p w14:paraId="678BE853" w14:textId="21BFCFD5" w:rsidR="005B5A40" w:rsidRPr="00024FF2" w:rsidRDefault="005B5A40" w:rsidP="005B5A40">
            <w:pPr>
              <w:spacing w:after="0"/>
              <w:ind w:right="-1"/>
              <w:jc w:val="right"/>
              <w:rPr>
                <w:color w:val="000000" w:themeColor="text1"/>
              </w:rPr>
            </w:pPr>
            <w:r w:rsidRPr="001901CD">
              <w:t>57 417</w:t>
            </w:r>
          </w:p>
        </w:tc>
      </w:tr>
      <w:tr w:rsidR="005B5A40" w:rsidRPr="00024FF2" w14:paraId="3B6B22CC" w14:textId="77777777" w:rsidTr="00433577">
        <w:trPr>
          <w:trHeight w:val="300"/>
          <w:jc w:val="center"/>
        </w:trPr>
        <w:tc>
          <w:tcPr>
            <w:tcW w:w="5780" w:type="dxa"/>
            <w:tcBorders>
              <w:top w:val="nil"/>
              <w:left w:val="nil"/>
              <w:bottom w:val="nil"/>
              <w:right w:val="nil"/>
            </w:tcBorders>
            <w:shd w:val="clear" w:color="auto" w:fill="auto"/>
            <w:vAlign w:val="center"/>
            <w:hideMark/>
          </w:tcPr>
          <w:p w14:paraId="66BDA7E3" w14:textId="2671CAEE" w:rsidR="005B5A40" w:rsidRPr="00024FF2" w:rsidRDefault="005B5A40" w:rsidP="005B5A40">
            <w:pPr>
              <w:spacing w:after="0" w:line="240" w:lineRule="auto"/>
              <w:ind w:right="-1" w:firstLineChars="200" w:firstLine="440"/>
              <w:rPr>
                <w:rFonts w:eastAsia="Times New Roman" w:cs="Times New Roman"/>
                <w:b/>
                <w:bCs/>
              </w:rPr>
            </w:pPr>
            <w:r w:rsidRPr="00024FF2">
              <w:rPr>
                <w:rFonts w:eastAsia="Times New Roman" w:cs="Times New Roman"/>
                <w:b/>
                <w:bCs/>
              </w:rPr>
              <w:t xml:space="preserve">SA triedy expozícií bez </w:t>
            </w:r>
            <w:proofErr w:type="spellStart"/>
            <w:r w:rsidRPr="00024FF2">
              <w:rPr>
                <w:rFonts w:eastAsia="Times New Roman" w:cs="Times New Roman"/>
                <w:b/>
                <w:bCs/>
              </w:rPr>
              <w:t>sekuritizačných</w:t>
            </w:r>
            <w:proofErr w:type="spellEnd"/>
            <w:r w:rsidRPr="00024FF2">
              <w:rPr>
                <w:rFonts w:eastAsia="Times New Roman" w:cs="Times New Roman"/>
                <w:b/>
                <w:bCs/>
              </w:rPr>
              <w:t xml:space="preserve"> pozícií</w:t>
            </w:r>
          </w:p>
        </w:tc>
        <w:tc>
          <w:tcPr>
            <w:tcW w:w="1120" w:type="dxa"/>
            <w:tcBorders>
              <w:top w:val="nil"/>
              <w:left w:val="nil"/>
              <w:bottom w:val="nil"/>
              <w:right w:val="nil"/>
            </w:tcBorders>
            <w:shd w:val="clear" w:color="auto" w:fill="auto"/>
            <w:noWrap/>
            <w:hideMark/>
          </w:tcPr>
          <w:p w14:paraId="14DE9E49" w14:textId="265A8F33" w:rsidR="005B5A40" w:rsidRPr="00024FF2" w:rsidRDefault="005B5A40" w:rsidP="005B5A40">
            <w:pPr>
              <w:spacing w:after="0"/>
              <w:ind w:right="-1"/>
              <w:jc w:val="right"/>
              <w:rPr>
                <w:color w:val="000000" w:themeColor="text1"/>
              </w:rPr>
            </w:pPr>
            <w:r w:rsidRPr="001901CD">
              <w:t>57 417</w:t>
            </w:r>
          </w:p>
        </w:tc>
      </w:tr>
      <w:tr w:rsidR="005B5A40" w:rsidRPr="00024FF2" w14:paraId="13EC58B3" w14:textId="77777777" w:rsidTr="00433577">
        <w:trPr>
          <w:trHeight w:val="300"/>
          <w:jc w:val="center"/>
        </w:trPr>
        <w:tc>
          <w:tcPr>
            <w:tcW w:w="5780" w:type="dxa"/>
            <w:tcBorders>
              <w:top w:val="nil"/>
              <w:left w:val="nil"/>
              <w:bottom w:val="nil"/>
              <w:right w:val="nil"/>
            </w:tcBorders>
            <w:shd w:val="clear" w:color="auto" w:fill="auto"/>
            <w:vAlign w:val="center"/>
            <w:hideMark/>
          </w:tcPr>
          <w:p w14:paraId="1822C281" w14:textId="08853EDE"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Ústredné vlády alebo centrálne banky</w:t>
            </w:r>
          </w:p>
        </w:tc>
        <w:tc>
          <w:tcPr>
            <w:tcW w:w="1120" w:type="dxa"/>
            <w:tcBorders>
              <w:top w:val="nil"/>
              <w:left w:val="nil"/>
              <w:bottom w:val="nil"/>
              <w:right w:val="nil"/>
            </w:tcBorders>
            <w:shd w:val="clear" w:color="auto" w:fill="auto"/>
            <w:noWrap/>
            <w:hideMark/>
          </w:tcPr>
          <w:p w14:paraId="088C92E7" w14:textId="20EBEE80" w:rsidR="005B5A40" w:rsidRPr="00024FF2" w:rsidRDefault="005B5A40" w:rsidP="005B5A40">
            <w:pPr>
              <w:spacing w:after="0"/>
              <w:ind w:right="-1"/>
              <w:jc w:val="right"/>
              <w:rPr>
                <w:color w:val="000000" w:themeColor="text1"/>
              </w:rPr>
            </w:pPr>
            <w:r w:rsidRPr="001901CD">
              <w:t>1 435</w:t>
            </w:r>
          </w:p>
        </w:tc>
      </w:tr>
      <w:tr w:rsidR="005B5A40" w:rsidRPr="00024FF2" w14:paraId="7AB5A558" w14:textId="77777777" w:rsidTr="00433577">
        <w:trPr>
          <w:trHeight w:val="300"/>
          <w:jc w:val="center"/>
        </w:trPr>
        <w:tc>
          <w:tcPr>
            <w:tcW w:w="5780" w:type="dxa"/>
            <w:tcBorders>
              <w:top w:val="nil"/>
              <w:left w:val="nil"/>
              <w:bottom w:val="nil"/>
              <w:right w:val="nil"/>
            </w:tcBorders>
            <w:shd w:val="clear" w:color="auto" w:fill="auto"/>
            <w:vAlign w:val="center"/>
            <w:hideMark/>
          </w:tcPr>
          <w:p w14:paraId="6D138804" w14:textId="60EE3E21"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Regionálne vlády alebo miestne orgány</w:t>
            </w:r>
          </w:p>
        </w:tc>
        <w:tc>
          <w:tcPr>
            <w:tcW w:w="1120" w:type="dxa"/>
            <w:tcBorders>
              <w:top w:val="nil"/>
              <w:left w:val="nil"/>
              <w:bottom w:val="nil"/>
              <w:right w:val="nil"/>
            </w:tcBorders>
            <w:shd w:val="clear" w:color="auto" w:fill="auto"/>
            <w:noWrap/>
            <w:hideMark/>
          </w:tcPr>
          <w:p w14:paraId="2155FC1D" w14:textId="504B2800" w:rsidR="005B5A40" w:rsidRPr="00024FF2" w:rsidRDefault="005B5A40" w:rsidP="005B5A40">
            <w:pPr>
              <w:spacing w:after="0"/>
              <w:ind w:right="-1"/>
              <w:jc w:val="right"/>
              <w:rPr>
                <w:color w:val="000000" w:themeColor="text1"/>
              </w:rPr>
            </w:pPr>
            <w:r w:rsidRPr="001901CD">
              <w:t>303</w:t>
            </w:r>
          </w:p>
        </w:tc>
      </w:tr>
      <w:tr w:rsidR="005B5A40" w:rsidRPr="00024FF2" w14:paraId="54044FC0" w14:textId="77777777" w:rsidTr="00433577">
        <w:trPr>
          <w:trHeight w:val="300"/>
          <w:jc w:val="center"/>
        </w:trPr>
        <w:tc>
          <w:tcPr>
            <w:tcW w:w="5780" w:type="dxa"/>
            <w:tcBorders>
              <w:top w:val="nil"/>
              <w:left w:val="nil"/>
              <w:bottom w:val="nil"/>
              <w:right w:val="nil"/>
            </w:tcBorders>
            <w:shd w:val="clear" w:color="auto" w:fill="auto"/>
            <w:vAlign w:val="center"/>
            <w:hideMark/>
          </w:tcPr>
          <w:p w14:paraId="259525BE" w14:textId="72DC733A"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 xml:space="preserve">Subjekty verejného sektora </w:t>
            </w:r>
          </w:p>
        </w:tc>
        <w:tc>
          <w:tcPr>
            <w:tcW w:w="1120" w:type="dxa"/>
            <w:tcBorders>
              <w:top w:val="nil"/>
              <w:left w:val="nil"/>
              <w:bottom w:val="nil"/>
              <w:right w:val="nil"/>
            </w:tcBorders>
            <w:shd w:val="clear" w:color="auto" w:fill="auto"/>
            <w:noWrap/>
            <w:hideMark/>
          </w:tcPr>
          <w:p w14:paraId="65D5BEC4" w14:textId="39E560C2" w:rsidR="005B5A40" w:rsidRPr="00024FF2" w:rsidRDefault="005B5A40" w:rsidP="005B5A40">
            <w:pPr>
              <w:spacing w:after="0"/>
              <w:ind w:right="-1"/>
              <w:jc w:val="right"/>
              <w:rPr>
                <w:color w:val="000000" w:themeColor="text1"/>
              </w:rPr>
            </w:pPr>
            <w:r w:rsidRPr="001901CD">
              <w:t>94</w:t>
            </w:r>
          </w:p>
        </w:tc>
      </w:tr>
      <w:tr w:rsidR="005B5A40" w:rsidRPr="00024FF2" w14:paraId="250DEC09" w14:textId="77777777" w:rsidTr="00433577">
        <w:trPr>
          <w:trHeight w:val="300"/>
          <w:jc w:val="center"/>
        </w:trPr>
        <w:tc>
          <w:tcPr>
            <w:tcW w:w="5780" w:type="dxa"/>
            <w:tcBorders>
              <w:top w:val="nil"/>
              <w:left w:val="nil"/>
              <w:bottom w:val="nil"/>
              <w:right w:val="nil"/>
            </w:tcBorders>
            <w:shd w:val="clear" w:color="auto" w:fill="auto"/>
            <w:vAlign w:val="center"/>
            <w:hideMark/>
          </w:tcPr>
          <w:p w14:paraId="44745DD4" w14:textId="07407FDB"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Multilaterálne rozvojové banky</w:t>
            </w:r>
          </w:p>
        </w:tc>
        <w:tc>
          <w:tcPr>
            <w:tcW w:w="1120" w:type="dxa"/>
            <w:tcBorders>
              <w:top w:val="nil"/>
              <w:left w:val="nil"/>
              <w:bottom w:val="nil"/>
              <w:right w:val="nil"/>
            </w:tcBorders>
            <w:shd w:val="clear" w:color="auto" w:fill="auto"/>
            <w:noWrap/>
            <w:hideMark/>
          </w:tcPr>
          <w:p w14:paraId="3F406921" w14:textId="1BEA386A" w:rsidR="005B5A40" w:rsidRPr="00024FF2" w:rsidRDefault="005B5A40" w:rsidP="005B5A40">
            <w:pPr>
              <w:spacing w:after="0"/>
              <w:ind w:right="-1"/>
              <w:jc w:val="right"/>
              <w:rPr>
                <w:color w:val="000000" w:themeColor="text1"/>
              </w:rPr>
            </w:pPr>
            <w:r w:rsidRPr="001901CD">
              <w:t>0</w:t>
            </w:r>
          </w:p>
        </w:tc>
      </w:tr>
      <w:tr w:rsidR="005B5A40" w:rsidRPr="00024FF2" w14:paraId="0F4082C4" w14:textId="77777777" w:rsidTr="00433577">
        <w:trPr>
          <w:trHeight w:val="300"/>
          <w:jc w:val="center"/>
        </w:trPr>
        <w:tc>
          <w:tcPr>
            <w:tcW w:w="5780" w:type="dxa"/>
            <w:tcBorders>
              <w:top w:val="nil"/>
              <w:left w:val="nil"/>
              <w:bottom w:val="nil"/>
              <w:right w:val="nil"/>
            </w:tcBorders>
            <w:shd w:val="clear" w:color="auto" w:fill="auto"/>
            <w:vAlign w:val="center"/>
            <w:hideMark/>
          </w:tcPr>
          <w:p w14:paraId="2224CEF7" w14:textId="1EA568FF"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Medzinárodné organizácie</w:t>
            </w:r>
          </w:p>
        </w:tc>
        <w:tc>
          <w:tcPr>
            <w:tcW w:w="1120" w:type="dxa"/>
            <w:tcBorders>
              <w:top w:val="nil"/>
              <w:left w:val="nil"/>
              <w:bottom w:val="nil"/>
              <w:right w:val="nil"/>
            </w:tcBorders>
            <w:shd w:val="clear" w:color="auto" w:fill="auto"/>
            <w:noWrap/>
            <w:hideMark/>
          </w:tcPr>
          <w:p w14:paraId="7924AE52" w14:textId="54A5438A" w:rsidR="005B5A40" w:rsidRPr="00024FF2" w:rsidRDefault="005B5A40" w:rsidP="005B5A40">
            <w:pPr>
              <w:spacing w:after="0"/>
              <w:ind w:right="-1"/>
              <w:jc w:val="right"/>
              <w:rPr>
                <w:color w:val="000000" w:themeColor="text1"/>
              </w:rPr>
            </w:pPr>
            <w:r w:rsidRPr="001901CD">
              <w:t>0</w:t>
            </w:r>
          </w:p>
        </w:tc>
      </w:tr>
      <w:tr w:rsidR="005B5A40" w:rsidRPr="00024FF2" w14:paraId="66CFC310" w14:textId="77777777" w:rsidTr="00433577">
        <w:trPr>
          <w:trHeight w:val="300"/>
          <w:jc w:val="center"/>
        </w:trPr>
        <w:tc>
          <w:tcPr>
            <w:tcW w:w="5780" w:type="dxa"/>
            <w:tcBorders>
              <w:top w:val="nil"/>
              <w:left w:val="nil"/>
              <w:bottom w:val="nil"/>
              <w:right w:val="nil"/>
            </w:tcBorders>
            <w:shd w:val="clear" w:color="auto" w:fill="auto"/>
            <w:vAlign w:val="center"/>
            <w:hideMark/>
          </w:tcPr>
          <w:p w14:paraId="38E56029" w14:textId="1DE5AF34"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Inštitúcie</w:t>
            </w:r>
          </w:p>
        </w:tc>
        <w:tc>
          <w:tcPr>
            <w:tcW w:w="1120" w:type="dxa"/>
            <w:tcBorders>
              <w:top w:val="nil"/>
              <w:left w:val="nil"/>
              <w:bottom w:val="nil"/>
              <w:right w:val="nil"/>
            </w:tcBorders>
            <w:shd w:val="clear" w:color="auto" w:fill="auto"/>
            <w:noWrap/>
            <w:hideMark/>
          </w:tcPr>
          <w:p w14:paraId="52A6DF42" w14:textId="68BC246F" w:rsidR="005B5A40" w:rsidRPr="00024FF2" w:rsidRDefault="005B5A40" w:rsidP="005B5A40">
            <w:pPr>
              <w:spacing w:after="0"/>
              <w:ind w:right="-1"/>
              <w:jc w:val="right"/>
              <w:rPr>
                <w:color w:val="000000" w:themeColor="text1"/>
              </w:rPr>
            </w:pPr>
            <w:r w:rsidRPr="001901CD">
              <w:t>995</w:t>
            </w:r>
          </w:p>
        </w:tc>
      </w:tr>
      <w:tr w:rsidR="005B5A40" w:rsidRPr="00024FF2" w14:paraId="4213ADC4" w14:textId="77777777" w:rsidTr="00433577">
        <w:trPr>
          <w:trHeight w:val="300"/>
          <w:jc w:val="center"/>
        </w:trPr>
        <w:tc>
          <w:tcPr>
            <w:tcW w:w="5780" w:type="dxa"/>
            <w:tcBorders>
              <w:top w:val="nil"/>
              <w:left w:val="nil"/>
              <w:bottom w:val="nil"/>
              <w:right w:val="nil"/>
            </w:tcBorders>
            <w:shd w:val="clear" w:color="auto" w:fill="auto"/>
            <w:vAlign w:val="center"/>
            <w:hideMark/>
          </w:tcPr>
          <w:p w14:paraId="4B7B1FB8" w14:textId="1DC77A54"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Podnikateľské subjekty</w:t>
            </w:r>
          </w:p>
        </w:tc>
        <w:tc>
          <w:tcPr>
            <w:tcW w:w="1120" w:type="dxa"/>
            <w:tcBorders>
              <w:top w:val="nil"/>
              <w:left w:val="nil"/>
              <w:bottom w:val="nil"/>
              <w:right w:val="nil"/>
            </w:tcBorders>
            <w:shd w:val="clear" w:color="auto" w:fill="auto"/>
            <w:noWrap/>
            <w:hideMark/>
          </w:tcPr>
          <w:p w14:paraId="4D7CA6B1" w14:textId="5571966D" w:rsidR="005B5A40" w:rsidRPr="00024FF2" w:rsidRDefault="005B5A40" w:rsidP="005B5A40">
            <w:pPr>
              <w:spacing w:after="0"/>
              <w:ind w:right="-1"/>
              <w:jc w:val="right"/>
              <w:rPr>
                <w:color w:val="000000" w:themeColor="text1"/>
              </w:rPr>
            </w:pPr>
            <w:r w:rsidRPr="001901CD">
              <w:t>16 429</w:t>
            </w:r>
          </w:p>
        </w:tc>
      </w:tr>
      <w:tr w:rsidR="005B5A40" w:rsidRPr="00024FF2" w14:paraId="27CA314B" w14:textId="77777777" w:rsidTr="00433577">
        <w:trPr>
          <w:trHeight w:val="300"/>
          <w:jc w:val="center"/>
        </w:trPr>
        <w:tc>
          <w:tcPr>
            <w:tcW w:w="5780" w:type="dxa"/>
            <w:tcBorders>
              <w:top w:val="nil"/>
              <w:left w:val="nil"/>
              <w:bottom w:val="nil"/>
              <w:right w:val="nil"/>
            </w:tcBorders>
            <w:shd w:val="clear" w:color="auto" w:fill="auto"/>
            <w:vAlign w:val="center"/>
            <w:hideMark/>
          </w:tcPr>
          <w:p w14:paraId="07FE0D66" w14:textId="58459731" w:rsidR="005B5A40" w:rsidRPr="00024FF2" w:rsidRDefault="005B5A40" w:rsidP="005B5A40">
            <w:pPr>
              <w:spacing w:after="0" w:line="240" w:lineRule="auto"/>
              <w:ind w:right="-1" w:firstLineChars="400" w:firstLine="880"/>
              <w:rPr>
                <w:rFonts w:eastAsia="Times New Roman" w:cs="Times New Roman"/>
              </w:rPr>
            </w:pPr>
            <w:proofErr w:type="spellStart"/>
            <w:r w:rsidRPr="00024FF2">
              <w:rPr>
                <w:rFonts w:eastAsia="Times New Roman" w:cs="Times New Roman"/>
              </w:rPr>
              <w:t>Retail</w:t>
            </w:r>
            <w:proofErr w:type="spellEnd"/>
          </w:p>
        </w:tc>
        <w:tc>
          <w:tcPr>
            <w:tcW w:w="1120" w:type="dxa"/>
            <w:tcBorders>
              <w:top w:val="nil"/>
              <w:left w:val="nil"/>
              <w:bottom w:val="nil"/>
              <w:right w:val="nil"/>
            </w:tcBorders>
            <w:shd w:val="clear" w:color="auto" w:fill="auto"/>
            <w:noWrap/>
            <w:hideMark/>
          </w:tcPr>
          <w:p w14:paraId="3854C9B0" w14:textId="27535FB4" w:rsidR="005B5A40" w:rsidRPr="00024FF2" w:rsidRDefault="005B5A40" w:rsidP="005B5A40">
            <w:pPr>
              <w:spacing w:after="0"/>
              <w:ind w:right="-1"/>
              <w:jc w:val="right"/>
              <w:rPr>
                <w:color w:val="000000" w:themeColor="text1"/>
              </w:rPr>
            </w:pPr>
            <w:r w:rsidRPr="001901CD">
              <w:t>13 276</w:t>
            </w:r>
          </w:p>
        </w:tc>
      </w:tr>
      <w:tr w:rsidR="005B5A40" w:rsidRPr="00024FF2" w14:paraId="5E8888FD" w14:textId="77777777" w:rsidTr="00433577">
        <w:trPr>
          <w:trHeight w:val="300"/>
          <w:jc w:val="center"/>
        </w:trPr>
        <w:tc>
          <w:tcPr>
            <w:tcW w:w="5780" w:type="dxa"/>
            <w:tcBorders>
              <w:top w:val="nil"/>
              <w:left w:val="nil"/>
              <w:bottom w:val="nil"/>
              <w:right w:val="nil"/>
            </w:tcBorders>
            <w:shd w:val="clear" w:color="auto" w:fill="auto"/>
            <w:vAlign w:val="center"/>
            <w:hideMark/>
          </w:tcPr>
          <w:p w14:paraId="12D1C13F" w14:textId="3EC9C6B6"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Zabezpečené hypotékami na nehnuteľný majetok</w:t>
            </w:r>
          </w:p>
        </w:tc>
        <w:tc>
          <w:tcPr>
            <w:tcW w:w="1120" w:type="dxa"/>
            <w:tcBorders>
              <w:top w:val="nil"/>
              <w:left w:val="nil"/>
              <w:bottom w:val="nil"/>
              <w:right w:val="nil"/>
            </w:tcBorders>
            <w:shd w:val="clear" w:color="auto" w:fill="auto"/>
            <w:noWrap/>
            <w:hideMark/>
          </w:tcPr>
          <w:p w14:paraId="13EF4DCE" w14:textId="2E83C91C" w:rsidR="005B5A40" w:rsidRPr="00024FF2" w:rsidRDefault="005B5A40" w:rsidP="005B5A40">
            <w:pPr>
              <w:spacing w:after="0"/>
              <w:ind w:right="-1"/>
              <w:jc w:val="right"/>
              <w:rPr>
                <w:color w:val="000000" w:themeColor="text1"/>
              </w:rPr>
            </w:pPr>
            <w:r w:rsidRPr="001901CD">
              <w:t>20 514</w:t>
            </w:r>
          </w:p>
        </w:tc>
      </w:tr>
      <w:tr w:rsidR="005B5A40" w:rsidRPr="00024FF2" w14:paraId="0860BDE1" w14:textId="77777777" w:rsidTr="00433577">
        <w:trPr>
          <w:trHeight w:val="300"/>
          <w:jc w:val="center"/>
        </w:trPr>
        <w:tc>
          <w:tcPr>
            <w:tcW w:w="5780" w:type="dxa"/>
            <w:tcBorders>
              <w:top w:val="nil"/>
              <w:left w:val="nil"/>
              <w:bottom w:val="nil"/>
              <w:right w:val="nil"/>
            </w:tcBorders>
            <w:shd w:val="clear" w:color="auto" w:fill="auto"/>
            <w:vAlign w:val="center"/>
            <w:hideMark/>
          </w:tcPr>
          <w:p w14:paraId="36FC31BF" w14:textId="7E029E02"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 xml:space="preserve">Expozície v stave zlyhania </w:t>
            </w:r>
          </w:p>
        </w:tc>
        <w:tc>
          <w:tcPr>
            <w:tcW w:w="1120" w:type="dxa"/>
            <w:tcBorders>
              <w:top w:val="nil"/>
              <w:left w:val="nil"/>
              <w:bottom w:val="nil"/>
              <w:right w:val="nil"/>
            </w:tcBorders>
            <w:shd w:val="clear" w:color="auto" w:fill="auto"/>
            <w:noWrap/>
            <w:hideMark/>
          </w:tcPr>
          <w:p w14:paraId="040D2C14" w14:textId="403D8DC1" w:rsidR="005B5A40" w:rsidRPr="00024FF2" w:rsidRDefault="005B5A40" w:rsidP="005B5A40">
            <w:pPr>
              <w:spacing w:after="0"/>
              <w:ind w:right="-1"/>
              <w:jc w:val="right"/>
              <w:rPr>
                <w:color w:val="000000" w:themeColor="text1"/>
              </w:rPr>
            </w:pPr>
            <w:r w:rsidRPr="001901CD">
              <w:t>1 832</w:t>
            </w:r>
          </w:p>
        </w:tc>
      </w:tr>
      <w:tr w:rsidR="005B5A40" w:rsidRPr="00024FF2" w14:paraId="11665E47" w14:textId="77777777" w:rsidTr="00433577">
        <w:trPr>
          <w:trHeight w:val="300"/>
          <w:jc w:val="center"/>
        </w:trPr>
        <w:tc>
          <w:tcPr>
            <w:tcW w:w="5780" w:type="dxa"/>
            <w:tcBorders>
              <w:top w:val="nil"/>
              <w:left w:val="nil"/>
              <w:bottom w:val="nil"/>
              <w:right w:val="nil"/>
            </w:tcBorders>
            <w:shd w:val="clear" w:color="auto" w:fill="auto"/>
            <w:vAlign w:val="center"/>
            <w:hideMark/>
          </w:tcPr>
          <w:p w14:paraId="02612693" w14:textId="2A48BCE3"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Položky, s ktorými súvisí osobitne vysoké riziko</w:t>
            </w:r>
          </w:p>
        </w:tc>
        <w:tc>
          <w:tcPr>
            <w:tcW w:w="1120" w:type="dxa"/>
            <w:tcBorders>
              <w:top w:val="nil"/>
              <w:left w:val="nil"/>
              <w:bottom w:val="nil"/>
              <w:right w:val="nil"/>
            </w:tcBorders>
            <w:shd w:val="clear" w:color="auto" w:fill="auto"/>
            <w:noWrap/>
            <w:hideMark/>
          </w:tcPr>
          <w:p w14:paraId="641193F7" w14:textId="3F119EF2" w:rsidR="005B5A40" w:rsidRPr="00024FF2" w:rsidRDefault="005B5A40" w:rsidP="005B5A40">
            <w:pPr>
              <w:spacing w:after="0"/>
              <w:ind w:right="-1"/>
              <w:jc w:val="right"/>
              <w:rPr>
                <w:color w:val="000000" w:themeColor="text1"/>
              </w:rPr>
            </w:pPr>
            <w:r w:rsidRPr="001901CD">
              <w:t>271</w:t>
            </w:r>
          </w:p>
        </w:tc>
      </w:tr>
      <w:tr w:rsidR="005B5A40" w:rsidRPr="00024FF2" w14:paraId="18C51470" w14:textId="77777777" w:rsidTr="00433577">
        <w:trPr>
          <w:trHeight w:val="300"/>
          <w:jc w:val="center"/>
        </w:trPr>
        <w:tc>
          <w:tcPr>
            <w:tcW w:w="5780" w:type="dxa"/>
            <w:tcBorders>
              <w:top w:val="nil"/>
              <w:left w:val="nil"/>
              <w:bottom w:val="nil"/>
              <w:right w:val="nil"/>
            </w:tcBorders>
            <w:shd w:val="clear" w:color="auto" w:fill="auto"/>
            <w:vAlign w:val="center"/>
            <w:hideMark/>
          </w:tcPr>
          <w:p w14:paraId="1F3B715C" w14:textId="748614ED"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Kryté dlhopisy</w:t>
            </w:r>
          </w:p>
        </w:tc>
        <w:tc>
          <w:tcPr>
            <w:tcW w:w="1120" w:type="dxa"/>
            <w:tcBorders>
              <w:top w:val="nil"/>
              <w:left w:val="nil"/>
              <w:bottom w:val="nil"/>
              <w:right w:val="nil"/>
            </w:tcBorders>
            <w:shd w:val="clear" w:color="auto" w:fill="auto"/>
            <w:noWrap/>
            <w:hideMark/>
          </w:tcPr>
          <w:p w14:paraId="4678864D" w14:textId="2D9102E2" w:rsidR="005B5A40" w:rsidRPr="00024FF2" w:rsidRDefault="005B5A40" w:rsidP="005B5A40">
            <w:pPr>
              <w:spacing w:after="0"/>
              <w:ind w:right="-1"/>
              <w:jc w:val="right"/>
              <w:rPr>
                <w:color w:val="000000" w:themeColor="text1"/>
              </w:rPr>
            </w:pPr>
            <w:r w:rsidRPr="001901CD">
              <w:t>0</w:t>
            </w:r>
          </w:p>
        </w:tc>
      </w:tr>
      <w:tr w:rsidR="005B5A40" w:rsidRPr="00024FF2" w14:paraId="29D00BC3" w14:textId="77777777" w:rsidTr="00433577">
        <w:trPr>
          <w:trHeight w:val="600"/>
          <w:jc w:val="center"/>
        </w:trPr>
        <w:tc>
          <w:tcPr>
            <w:tcW w:w="5780" w:type="dxa"/>
            <w:tcBorders>
              <w:top w:val="nil"/>
              <w:left w:val="nil"/>
              <w:bottom w:val="nil"/>
              <w:right w:val="nil"/>
            </w:tcBorders>
            <w:shd w:val="clear" w:color="auto" w:fill="auto"/>
            <w:vAlign w:val="center"/>
            <w:hideMark/>
          </w:tcPr>
          <w:p w14:paraId="5BADC5B5" w14:textId="5C2DDADF" w:rsidR="005B5A40" w:rsidRPr="00024FF2" w:rsidRDefault="005B5A40" w:rsidP="005B5A40">
            <w:pPr>
              <w:spacing w:after="0" w:line="240" w:lineRule="auto"/>
              <w:ind w:leftChars="400" w:left="900" w:right="-1" w:hangingChars="9" w:hanging="20"/>
              <w:rPr>
                <w:rFonts w:eastAsia="Times New Roman" w:cs="Times New Roman"/>
              </w:rPr>
            </w:pPr>
            <w:r w:rsidRPr="00024FF2">
              <w:rPr>
                <w:rFonts w:eastAsia="Times New Roman" w:cs="Times New Roman"/>
              </w:rPr>
              <w:t xml:space="preserve">Pohľadávky voči inštitúciám a podnikateľským                                                                                   subjektom s krátkodobým ratingovým hodnotením </w:t>
            </w:r>
          </w:p>
        </w:tc>
        <w:tc>
          <w:tcPr>
            <w:tcW w:w="1120" w:type="dxa"/>
            <w:tcBorders>
              <w:top w:val="nil"/>
              <w:left w:val="nil"/>
              <w:bottom w:val="nil"/>
              <w:right w:val="nil"/>
            </w:tcBorders>
            <w:shd w:val="clear" w:color="auto" w:fill="auto"/>
            <w:noWrap/>
            <w:hideMark/>
          </w:tcPr>
          <w:p w14:paraId="3486935C" w14:textId="3BEA7045" w:rsidR="005B5A40" w:rsidRPr="00024FF2" w:rsidRDefault="005B5A40" w:rsidP="005B5A40">
            <w:pPr>
              <w:spacing w:after="0"/>
              <w:ind w:right="-1"/>
              <w:jc w:val="right"/>
              <w:rPr>
                <w:color w:val="000000" w:themeColor="text1"/>
              </w:rPr>
            </w:pPr>
            <w:r w:rsidRPr="001901CD">
              <w:t>0</w:t>
            </w:r>
          </w:p>
        </w:tc>
      </w:tr>
      <w:tr w:rsidR="005B5A40" w:rsidRPr="00024FF2" w14:paraId="0A710AF8" w14:textId="77777777" w:rsidTr="00433577">
        <w:trPr>
          <w:trHeight w:val="300"/>
          <w:jc w:val="center"/>
        </w:trPr>
        <w:tc>
          <w:tcPr>
            <w:tcW w:w="5780" w:type="dxa"/>
            <w:tcBorders>
              <w:top w:val="nil"/>
              <w:left w:val="nil"/>
              <w:bottom w:val="nil"/>
              <w:right w:val="nil"/>
            </w:tcBorders>
            <w:shd w:val="clear" w:color="auto" w:fill="auto"/>
            <w:vAlign w:val="center"/>
            <w:hideMark/>
          </w:tcPr>
          <w:p w14:paraId="2D5FFB6D" w14:textId="301140C6"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Podniky kolektívneho investovania (PKI)</w:t>
            </w:r>
          </w:p>
        </w:tc>
        <w:tc>
          <w:tcPr>
            <w:tcW w:w="1120" w:type="dxa"/>
            <w:tcBorders>
              <w:top w:val="nil"/>
              <w:left w:val="nil"/>
              <w:bottom w:val="nil"/>
              <w:right w:val="nil"/>
            </w:tcBorders>
            <w:shd w:val="clear" w:color="auto" w:fill="auto"/>
            <w:noWrap/>
            <w:hideMark/>
          </w:tcPr>
          <w:p w14:paraId="563D584B" w14:textId="116A2DE2" w:rsidR="005B5A40" w:rsidRPr="00024FF2" w:rsidRDefault="005B5A40" w:rsidP="005B5A40">
            <w:pPr>
              <w:spacing w:after="0"/>
              <w:ind w:right="-1"/>
              <w:jc w:val="right"/>
              <w:rPr>
                <w:color w:val="000000" w:themeColor="text1"/>
              </w:rPr>
            </w:pPr>
            <w:r w:rsidRPr="001901CD">
              <w:t>0</w:t>
            </w:r>
          </w:p>
        </w:tc>
      </w:tr>
      <w:tr w:rsidR="005B5A40" w:rsidRPr="00024FF2" w14:paraId="1FE87BE1" w14:textId="77777777" w:rsidTr="00433577">
        <w:trPr>
          <w:trHeight w:val="300"/>
          <w:jc w:val="center"/>
        </w:trPr>
        <w:tc>
          <w:tcPr>
            <w:tcW w:w="5780" w:type="dxa"/>
            <w:tcBorders>
              <w:top w:val="nil"/>
              <w:left w:val="nil"/>
              <w:bottom w:val="nil"/>
              <w:right w:val="nil"/>
            </w:tcBorders>
            <w:shd w:val="clear" w:color="auto" w:fill="auto"/>
            <w:vAlign w:val="center"/>
            <w:hideMark/>
          </w:tcPr>
          <w:p w14:paraId="2DBE77C7" w14:textId="67F61BFC"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Vlastný kapitál</w:t>
            </w:r>
          </w:p>
        </w:tc>
        <w:tc>
          <w:tcPr>
            <w:tcW w:w="1120" w:type="dxa"/>
            <w:tcBorders>
              <w:top w:val="nil"/>
              <w:left w:val="nil"/>
              <w:bottom w:val="nil"/>
              <w:right w:val="nil"/>
            </w:tcBorders>
            <w:shd w:val="clear" w:color="auto" w:fill="auto"/>
            <w:noWrap/>
            <w:hideMark/>
          </w:tcPr>
          <w:p w14:paraId="7F05E328" w14:textId="065DEAA0" w:rsidR="005B5A40" w:rsidRPr="00024FF2" w:rsidRDefault="005B5A40" w:rsidP="005B5A40">
            <w:pPr>
              <w:spacing w:after="0"/>
              <w:ind w:right="-1"/>
              <w:jc w:val="right"/>
              <w:rPr>
                <w:color w:val="000000" w:themeColor="text1"/>
              </w:rPr>
            </w:pPr>
            <w:r w:rsidRPr="001901CD">
              <w:t>91</w:t>
            </w:r>
          </w:p>
        </w:tc>
      </w:tr>
      <w:tr w:rsidR="005B5A40" w:rsidRPr="00024FF2" w14:paraId="685E82CA" w14:textId="77777777" w:rsidTr="00433577">
        <w:trPr>
          <w:trHeight w:val="300"/>
          <w:jc w:val="center"/>
        </w:trPr>
        <w:tc>
          <w:tcPr>
            <w:tcW w:w="5780" w:type="dxa"/>
            <w:tcBorders>
              <w:top w:val="nil"/>
              <w:left w:val="nil"/>
              <w:bottom w:val="nil"/>
              <w:right w:val="nil"/>
            </w:tcBorders>
            <w:shd w:val="clear" w:color="auto" w:fill="auto"/>
            <w:vAlign w:val="center"/>
            <w:hideMark/>
          </w:tcPr>
          <w:p w14:paraId="34E53471" w14:textId="17FCB8EE" w:rsidR="005B5A40" w:rsidRPr="00024FF2" w:rsidRDefault="005B5A40" w:rsidP="005B5A40">
            <w:pPr>
              <w:spacing w:after="0" w:line="240" w:lineRule="auto"/>
              <w:ind w:right="-1" w:firstLineChars="400" w:firstLine="880"/>
              <w:rPr>
                <w:rFonts w:eastAsia="Times New Roman" w:cs="Times New Roman"/>
              </w:rPr>
            </w:pPr>
            <w:r w:rsidRPr="00024FF2">
              <w:rPr>
                <w:rFonts w:eastAsia="Times New Roman" w:cs="Times New Roman"/>
              </w:rPr>
              <w:t>Iné položky</w:t>
            </w:r>
          </w:p>
        </w:tc>
        <w:tc>
          <w:tcPr>
            <w:tcW w:w="1120" w:type="dxa"/>
            <w:tcBorders>
              <w:top w:val="nil"/>
              <w:left w:val="nil"/>
              <w:bottom w:val="nil"/>
              <w:right w:val="nil"/>
            </w:tcBorders>
            <w:shd w:val="clear" w:color="auto" w:fill="auto"/>
            <w:noWrap/>
            <w:hideMark/>
          </w:tcPr>
          <w:p w14:paraId="58199463" w14:textId="526D3218" w:rsidR="005B5A40" w:rsidRPr="00024FF2" w:rsidRDefault="005B5A40" w:rsidP="005B5A40">
            <w:pPr>
              <w:spacing w:after="0"/>
              <w:ind w:right="-1"/>
              <w:jc w:val="right"/>
              <w:rPr>
                <w:color w:val="000000" w:themeColor="text1"/>
              </w:rPr>
            </w:pPr>
            <w:r w:rsidRPr="001901CD">
              <w:t>2 177</w:t>
            </w:r>
          </w:p>
        </w:tc>
      </w:tr>
      <w:tr w:rsidR="005B5A40" w:rsidRPr="00024FF2" w14:paraId="58E7172D" w14:textId="77777777" w:rsidTr="001D1DAA">
        <w:trPr>
          <w:trHeight w:val="300"/>
          <w:jc w:val="center"/>
        </w:trPr>
        <w:tc>
          <w:tcPr>
            <w:tcW w:w="5780" w:type="dxa"/>
            <w:tcBorders>
              <w:top w:val="nil"/>
              <w:left w:val="nil"/>
              <w:right w:val="nil"/>
            </w:tcBorders>
            <w:shd w:val="clear" w:color="auto" w:fill="auto"/>
            <w:vAlign w:val="center"/>
            <w:hideMark/>
          </w:tcPr>
          <w:p w14:paraId="0CCC5DA5" w14:textId="0B1BC063" w:rsidR="005B5A40" w:rsidRPr="00024FF2" w:rsidRDefault="005B5A40" w:rsidP="005B5A40">
            <w:pPr>
              <w:spacing w:after="0" w:line="240" w:lineRule="auto"/>
              <w:ind w:right="-1" w:firstLineChars="300" w:firstLine="660"/>
              <w:rPr>
                <w:rFonts w:eastAsia="Times New Roman" w:cs="Times New Roman"/>
                <w:b/>
                <w:bCs/>
              </w:rPr>
            </w:pPr>
            <w:proofErr w:type="spellStart"/>
            <w:r w:rsidRPr="00024FF2">
              <w:rPr>
                <w:rFonts w:eastAsia="Times New Roman" w:cs="Times New Roman"/>
                <w:b/>
                <w:bCs/>
              </w:rPr>
              <w:t>Sekuritizačné</w:t>
            </w:r>
            <w:proofErr w:type="spellEnd"/>
            <w:r w:rsidRPr="00024FF2">
              <w:rPr>
                <w:rFonts w:eastAsia="Times New Roman" w:cs="Times New Roman"/>
                <w:b/>
                <w:bCs/>
              </w:rPr>
              <w:t xml:space="preserve"> pozície SA</w:t>
            </w:r>
          </w:p>
        </w:tc>
        <w:tc>
          <w:tcPr>
            <w:tcW w:w="1120" w:type="dxa"/>
            <w:tcBorders>
              <w:top w:val="nil"/>
              <w:left w:val="nil"/>
              <w:right w:val="nil"/>
            </w:tcBorders>
            <w:shd w:val="clear" w:color="auto" w:fill="auto"/>
            <w:noWrap/>
            <w:hideMark/>
          </w:tcPr>
          <w:p w14:paraId="173149C0" w14:textId="058B41AB" w:rsidR="005B5A40" w:rsidRPr="00024FF2" w:rsidRDefault="005B5A40" w:rsidP="005B5A40">
            <w:pPr>
              <w:spacing w:after="0" w:line="240" w:lineRule="auto"/>
              <w:ind w:right="-1"/>
              <w:jc w:val="right"/>
            </w:pPr>
            <w:r w:rsidRPr="001901CD">
              <w:t>0</w:t>
            </w:r>
          </w:p>
        </w:tc>
      </w:tr>
      <w:tr w:rsidR="005B5A40" w:rsidRPr="00B13FC6" w14:paraId="155FD642" w14:textId="77777777" w:rsidTr="001D1DAA">
        <w:trPr>
          <w:trHeight w:val="300"/>
          <w:jc w:val="center"/>
        </w:trPr>
        <w:tc>
          <w:tcPr>
            <w:tcW w:w="5780" w:type="dxa"/>
            <w:tcBorders>
              <w:top w:val="nil"/>
              <w:left w:val="nil"/>
              <w:bottom w:val="single" w:sz="4" w:space="0" w:color="auto"/>
              <w:right w:val="nil"/>
            </w:tcBorders>
            <w:shd w:val="clear" w:color="auto" w:fill="auto"/>
            <w:vAlign w:val="center"/>
            <w:hideMark/>
          </w:tcPr>
          <w:p w14:paraId="3470FDAD" w14:textId="75E89216" w:rsidR="005B5A40" w:rsidRPr="00024FF2" w:rsidRDefault="005B5A40" w:rsidP="005B5A40">
            <w:pPr>
              <w:spacing w:after="0" w:line="240" w:lineRule="auto"/>
              <w:ind w:right="-1" w:firstLineChars="400" w:firstLine="880"/>
              <w:rPr>
                <w:rFonts w:eastAsia="Times New Roman" w:cs="Times New Roman"/>
                <w:i/>
                <w:iCs/>
              </w:rPr>
            </w:pPr>
            <w:r w:rsidRPr="00024FF2">
              <w:rPr>
                <w:rFonts w:eastAsia="Times New Roman" w:cs="Times New Roman"/>
                <w:i/>
                <w:iCs/>
              </w:rPr>
              <w:t xml:space="preserve">z čoho: </w:t>
            </w:r>
            <w:proofErr w:type="spellStart"/>
            <w:r w:rsidRPr="00024FF2">
              <w:rPr>
                <w:rFonts w:eastAsia="Times New Roman" w:cs="Times New Roman"/>
                <w:i/>
                <w:iCs/>
              </w:rPr>
              <w:t>resekuritizácia</w:t>
            </w:r>
            <w:proofErr w:type="spellEnd"/>
          </w:p>
        </w:tc>
        <w:tc>
          <w:tcPr>
            <w:tcW w:w="1120" w:type="dxa"/>
            <w:tcBorders>
              <w:top w:val="nil"/>
              <w:left w:val="nil"/>
              <w:bottom w:val="single" w:sz="4" w:space="0" w:color="auto"/>
              <w:right w:val="nil"/>
            </w:tcBorders>
            <w:shd w:val="clear" w:color="auto" w:fill="auto"/>
            <w:noWrap/>
            <w:hideMark/>
          </w:tcPr>
          <w:p w14:paraId="6DC0B800" w14:textId="4F142201" w:rsidR="005B5A40" w:rsidRPr="00024FF2" w:rsidRDefault="005B5A40" w:rsidP="005B5A40">
            <w:pPr>
              <w:spacing w:after="0" w:line="240" w:lineRule="auto"/>
              <w:ind w:right="-1"/>
              <w:jc w:val="right"/>
            </w:pPr>
            <w:r w:rsidRPr="001901CD">
              <w:t>0</w:t>
            </w:r>
          </w:p>
        </w:tc>
      </w:tr>
    </w:tbl>
    <w:p w14:paraId="0D4D8D33" w14:textId="77777777" w:rsidR="00C60CC2" w:rsidRPr="00880AF7" w:rsidRDefault="00C60CC2" w:rsidP="002B4050">
      <w:pPr>
        <w:numPr>
          <w:ilvl w:val="0"/>
          <w:numId w:val="3"/>
        </w:numPr>
        <w:ind w:left="567" w:right="-1" w:hanging="501"/>
        <w:contextualSpacing/>
        <w:rPr>
          <w:rFonts w:ascii="Arial" w:hAnsi="Arial" w:cs="Arial"/>
          <w:b/>
          <w:color w:val="000000" w:themeColor="text1"/>
          <w:sz w:val="20"/>
          <w:szCs w:val="20"/>
        </w:rPr>
      </w:pPr>
      <w:r w:rsidRPr="00880AF7">
        <w:rPr>
          <w:rFonts w:ascii="Arial" w:hAnsi="Arial" w:cs="Arial"/>
          <w:b/>
          <w:color w:val="000000" w:themeColor="text1"/>
          <w:sz w:val="20"/>
          <w:szCs w:val="20"/>
        </w:rPr>
        <w:t>8 % hodnôt rizikovo vážených expozícií pre každú triedu expozícií (kreditné riziko - IRB prístup výpočtu RWA)</w:t>
      </w:r>
    </w:p>
    <w:p w14:paraId="5D131E4F" w14:textId="0F397BED" w:rsidR="00C60CC2" w:rsidRPr="00B13FC6" w:rsidRDefault="007A191B" w:rsidP="002B4050">
      <w:pPr>
        <w:pStyle w:val="ListParagraph"/>
        <w:spacing w:line="240" w:lineRule="auto"/>
        <w:ind w:right="-1"/>
        <w:rPr>
          <w:rFonts w:ascii="Arial" w:hAnsi="Arial" w:cs="Arial"/>
          <w:color w:val="000000" w:themeColor="text1"/>
          <w:sz w:val="20"/>
          <w:szCs w:val="20"/>
        </w:rPr>
      </w:pPr>
      <w:r w:rsidRPr="00B13FC6">
        <w:rPr>
          <w:rFonts w:ascii="Arial" w:hAnsi="Arial" w:cs="Arial"/>
          <w:color w:val="000000" w:themeColor="text1"/>
          <w:sz w:val="20"/>
          <w:szCs w:val="20"/>
        </w:rPr>
        <w:t>B</w:t>
      </w:r>
      <w:r w:rsidR="00C60CC2" w:rsidRPr="00B13FC6">
        <w:rPr>
          <w:rFonts w:ascii="Arial" w:hAnsi="Arial" w:cs="Arial"/>
          <w:color w:val="000000" w:themeColor="text1"/>
          <w:sz w:val="20"/>
          <w:szCs w:val="20"/>
        </w:rPr>
        <w:t>anka nepoužíva IRB prístup pri výpočte rizikovo vážených expozícii za kreditné riziko.</w:t>
      </w:r>
    </w:p>
    <w:p w14:paraId="512506B2" w14:textId="08575F51" w:rsidR="00CB34E1" w:rsidRPr="00B13FC6" w:rsidRDefault="00CB34E1" w:rsidP="002B4050">
      <w:pPr>
        <w:pStyle w:val="ListParagraph"/>
        <w:spacing w:line="240" w:lineRule="auto"/>
        <w:ind w:right="-1"/>
        <w:rPr>
          <w:rFonts w:ascii="Arial" w:hAnsi="Arial" w:cs="Arial"/>
          <w:color w:val="000000" w:themeColor="text1"/>
          <w:sz w:val="20"/>
          <w:szCs w:val="20"/>
        </w:rPr>
      </w:pPr>
    </w:p>
    <w:p w14:paraId="0B2F2951" w14:textId="42FC9090" w:rsidR="00C305B8" w:rsidRPr="00B13FC6" w:rsidRDefault="00C305B8" w:rsidP="002B4050">
      <w:pPr>
        <w:pStyle w:val="ListParagraph"/>
        <w:spacing w:line="240" w:lineRule="auto"/>
        <w:ind w:right="-1"/>
        <w:rPr>
          <w:rFonts w:ascii="Arial" w:hAnsi="Arial" w:cs="Arial"/>
          <w:color w:val="000000" w:themeColor="text1"/>
          <w:sz w:val="20"/>
          <w:szCs w:val="20"/>
        </w:rPr>
      </w:pPr>
    </w:p>
    <w:p w14:paraId="6E42CD36" w14:textId="2A70AC0B" w:rsidR="00C305B8" w:rsidRPr="00B13FC6" w:rsidRDefault="00C305B8" w:rsidP="002B4050">
      <w:pPr>
        <w:pStyle w:val="ListParagraph"/>
        <w:spacing w:line="240" w:lineRule="auto"/>
        <w:ind w:right="-1"/>
        <w:rPr>
          <w:rFonts w:ascii="Arial" w:hAnsi="Arial" w:cs="Arial"/>
          <w:color w:val="000000" w:themeColor="text1"/>
          <w:sz w:val="20"/>
          <w:szCs w:val="20"/>
        </w:rPr>
      </w:pPr>
    </w:p>
    <w:p w14:paraId="721974A1" w14:textId="77777777" w:rsidR="00EA66B3" w:rsidRPr="005B3E4E" w:rsidRDefault="00EA66B3" w:rsidP="002B4050">
      <w:pPr>
        <w:pStyle w:val="ListParagraph"/>
        <w:numPr>
          <w:ilvl w:val="0"/>
          <w:numId w:val="3"/>
        </w:numPr>
        <w:ind w:left="567" w:right="-1" w:hanging="501"/>
        <w:rPr>
          <w:rFonts w:ascii="Arial" w:hAnsi="Arial" w:cs="Arial"/>
          <w:b/>
          <w:sz w:val="20"/>
          <w:szCs w:val="20"/>
        </w:rPr>
      </w:pPr>
      <w:r w:rsidRPr="005B3E4E">
        <w:rPr>
          <w:rFonts w:ascii="Arial" w:hAnsi="Arial" w:cs="Arial"/>
          <w:b/>
          <w:sz w:val="20"/>
          <w:szCs w:val="20"/>
        </w:rPr>
        <w:t>Požiadavky na vlastné zdroje v súlade s čl. 92 ods. 3 písm. b) a c) podľa osobitného predpisu</w:t>
      </w:r>
      <w:r w:rsidRPr="005B3E4E">
        <w:rPr>
          <w:rFonts w:ascii="Arial" w:hAnsi="Arial" w:cs="Arial"/>
          <w:b/>
          <w:sz w:val="26"/>
          <w:szCs w:val="26"/>
          <w:vertAlign w:val="superscript"/>
        </w:rPr>
        <w:t>1)</w:t>
      </w:r>
    </w:p>
    <w:tbl>
      <w:tblPr>
        <w:tblW w:w="6900" w:type="dxa"/>
        <w:jc w:val="center"/>
        <w:tblCellMar>
          <w:left w:w="70" w:type="dxa"/>
          <w:right w:w="70" w:type="dxa"/>
        </w:tblCellMar>
        <w:tblLook w:val="04A0" w:firstRow="1" w:lastRow="0" w:firstColumn="1" w:lastColumn="0" w:noHBand="0" w:noVBand="1"/>
      </w:tblPr>
      <w:tblGrid>
        <w:gridCol w:w="5780"/>
        <w:gridCol w:w="1120"/>
      </w:tblGrid>
      <w:tr w:rsidR="00EA66B3" w:rsidRPr="005B3E4E" w14:paraId="255B0B10" w14:textId="77777777" w:rsidTr="000238D9">
        <w:trPr>
          <w:trHeight w:val="300"/>
          <w:jc w:val="center"/>
        </w:trPr>
        <w:tc>
          <w:tcPr>
            <w:tcW w:w="5780" w:type="dxa"/>
            <w:tcBorders>
              <w:top w:val="nil"/>
              <w:left w:val="nil"/>
              <w:bottom w:val="nil"/>
              <w:right w:val="nil"/>
            </w:tcBorders>
            <w:shd w:val="clear" w:color="auto" w:fill="auto"/>
            <w:noWrap/>
            <w:vAlign w:val="bottom"/>
            <w:hideMark/>
          </w:tcPr>
          <w:p w14:paraId="559C4058" w14:textId="77777777" w:rsidR="00EA66B3" w:rsidRPr="005B3E4E" w:rsidRDefault="00EA66B3" w:rsidP="002B4050">
            <w:pPr>
              <w:spacing w:after="0" w:line="240" w:lineRule="auto"/>
              <w:ind w:right="-1"/>
              <w:rPr>
                <w:rFonts w:ascii="Calibri" w:eastAsia="Times New Roman" w:hAnsi="Calibri" w:cs="Times New Roman"/>
              </w:rPr>
            </w:pPr>
          </w:p>
        </w:tc>
        <w:tc>
          <w:tcPr>
            <w:tcW w:w="1120" w:type="dxa"/>
            <w:tcBorders>
              <w:top w:val="nil"/>
              <w:left w:val="nil"/>
              <w:bottom w:val="nil"/>
              <w:right w:val="nil"/>
            </w:tcBorders>
            <w:shd w:val="clear" w:color="auto" w:fill="auto"/>
            <w:noWrap/>
            <w:vAlign w:val="bottom"/>
            <w:hideMark/>
          </w:tcPr>
          <w:p w14:paraId="665D538C" w14:textId="77777777" w:rsidR="00EA66B3" w:rsidRPr="005B3E4E" w:rsidRDefault="00EA66B3" w:rsidP="002B4050">
            <w:pPr>
              <w:spacing w:after="0" w:line="240" w:lineRule="auto"/>
              <w:ind w:right="-1"/>
              <w:jc w:val="right"/>
              <w:rPr>
                <w:rFonts w:ascii="Calibri" w:eastAsia="Times New Roman" w:hAnsi="Calibri" w:cs="Times New Roman"/>
              </w:rPr>
            </w:pPr>
            <w:r w:rsidRPr="005B3E4E">
              <w:rPr>
                <w:rFonts w:ascii="Calibri" w:eastAsia="Times New Roman" w:hAnsi="Calibri" w:cs="Times New Roman"/>
              </w:rPr>
              <w:t>v tis. EUR</w:t>
            </w:r>
          </w:p>
        </w:tc>
      </w:tr>
      <w:tr w:rsidR="00EA66B3" w:rsidRPr="005B3E4E" w14:paraId="223D37AA" w14:textId="77777777" w:rsidTr="000238D9">
        <w:trPr>
          <w:trHeight w:val="300"/>
          <w:jc w:val="center"/>
        </w:trPr>
        <w:tc>
          <w:tcPr>
            <w:tcW w:w="5780" w:type="dxa"/>
            <w:tcBorders>
              <w:top w:val="single" w:sz="4" w:space="0" w:color="auto"/>
              <w:left w:val="nil"/>
              <w:bottom w:val="single" w:sz="4" w:space="0" w:color="auto"/>
              <w:right w:val="nil"/>
            </w:tcBorders>
            <w:shd w:val="clear" w:color="auto" w:fill="auto"/>
            <w:noWrap/>
            <w:vAlign w:val="bottom"/>
            <w:hideMark/>
          </w:tcPr>
          <w:p w14:paraId="30C41930" w14:textId="77777777" w:rsidR="00EA66B3" w:rsidRPr="005B3E4E" w:rsidRDefault="00EA66B3" w:rsidP="002B4050">
            <w:pPr>
              <w:spacing w:after="0" w:line="240" w:lineRule="auto"/>
              <w:ind w:right="-1"/>
              <w:jc w:val="center"/>
              <w:rPr>
                <w:rFonts w:ascii="Calibri" w:eastAsia="Times New Roman" w:hAnsi="Calibri" w:cs="Times New Roman"/>
                <w:b/>
                <w:bCs/>
              </w:rPr>
            </w:pPr>
            <w:r w:rsidRPr="005B3E4E">
              <w:rPr>
                <w:rFonts w:ascii="Calibri" w:eastAsia="Times New Roman" w:hAnsi="Calibri" w:cs="Times New Roman"/>
                <w:b/>
                <w:bCs/>
              </w:rPr>
              <w:t>Ukazovateľ</w:t>
            </w:r>
          </w:p>
        </w:tc>
        <w:tc>
          <w:tcPr>
            <w:tcW w:w="1120" w:type="dxa"/>
            <w:tcBorders>
              <w:top w:val="single" w:sz="4" w:space="0" w:color="auto"/>
              <w:left w:val="nil"/>
              <w:bottom w:val="single" w:sz="4" w:space="0" w:color="auto"/>
              <w:right w:val="nil"/>
            </w:tcBorders>
            <w:shd w:val="clear" w:color="auto" w:fill="auto"/>
            <w:noWrap/>
            <w:vAlign w:val="bottom"/>
            <w:hideMark/>
          </w:tcPr>
          <w:p w14:paraId="6E071F00" w14:textId="77777777" w:rsidR="00EA66B3" w:rsidRPr="005B3E4E" w:rsidRDefault="00EA66B3" w:rsidP="002B4050">
            <w:pPr>
              <w:spacing w:after="0" w:line="240" w:lineRule="auto"/>
              <w:ind w:right="-1"/>
              <w:jc w:val="center"/>
              <w:rPr>
                <w:rFonts w:ascii="Calibri" w:eastAsia="Times New Roman" w:hAnsi="Calibri" w:cs="Times New Roman"/>
                <w:b/>
                <w:bCs/>
              </w:rPr>
            </w:pPr>
            <w:r w:rsidRPr="005B3E4E">
              <w:rPr>
                <w:rFonts w:ascii="Calibri" w:eastAsia="Times New Roman" w:hAnsi="Calibri" w:cs="Times New Roman"/>
                <w:b/>
                <w:bCs/>
              </w:rPr>
              <w:t> </w:t>
            </w:r>
          </w:p>
        </w:tc>
      </w:tr>
      <w:tr w:rsidR="00EA66B3" w:rsidRPr="005B3E4E" w14:paraId="241A5648" w14:textId="77777777" w:rsidTr="000238D9">
        <w:trPr>
          <w:trHeight w:val="600"/>
          <w:jc w:val="center"/>
        </w:trPr>
        <w:tc>
          <w:tcPr>
            <w:tcW w:w="5780" w:type="dxa"/>
            <w:tcBorders>
              <w:top w:val="single" w:sz="4" w:space="0" w:color="auto"/>
              <w:left w:val="nil"/>
              <w:right w:val="nil"/>
            </w:tcBorders>
            <w:shd w:val="clear" w:color="auto" w:fill="auto"/>
            <w:vAlign w:val="center"/>
            <w:hideMark/>
          </w:tcPr>
          <w:p w14:paraId="218D478E" w14:textId="77777777" w:rsidR="00EA66B3" w:rsidRPr="005B3E4E" w:rsidRDefault="00EA66B3" w:rsidP="002B4050">
            <w:pPr>
              <w:spacing w:after="0" w:line="240" w:lineRule="auto"/>
              <w:ind w:right="-1"/>
              <w:rPr>
                <w:rFonts w:ascii="Calibri" w:eastAsia="Times New Roman" w:hAnsi="Calibri" w:cs="Times New Roman"/>
                <w:b/>
                <w:bCs/>
              </w:rPr>
            </w:pPr>
            <w:r w:rsidRPr="005B3E4E">
              <w:rPr>
                <w:rFonts w:ascii="Calibri" w:eastAsia="Times New Roman" w:hAnsi="Calibri" w:cs="Times New Roman"/>
                <w:b/>
                <w:bCs/>
              </w:rPr>
              <w:t>Požiadavky na vlastné zdroje pre riziká vyrovnania/dodania</w:t>
            </w:r>
          </w:p>
        </w:tc>
        <w:tc>
          <w:tcPr>
            <w:tcW w:w="1120" w:type="dxa"/>
            <w:tcBorders>
              <w:top w:val="single" w:sz="4" w:space="0" w:color="auto"/>
              <w:left w:val="nil"/>
              <w:right w:val="nil"/>
            </w:tcBorders>
            <w:shd w:val="clear" w:color="auto" w:fill="auto"/>
            <w:noWrap/>
            <w:vAlign w:val="center"/>
            <w:hideMark/>
          </w:tcPr>
          <w:p w14:paraId="43FEE169" w14:textId="77777777" w:rsidR="00EA66B3" w:rsidRPr="005B3E4E" w:rsidRDefault="00EA66B3" w:rsidP="002B4050">
            <w:pPr>
              <w:spacing w:after="0"/>
              <w:ind w:right="-1"/>
              <w:jc w:val="right"/>
            </w:pPr>
            <w:r w:rsidRPr="005B3E4E">
              <w:t>0</w:t>
            </w:r>
          </w:p>
        </w:tc>
      </w:tr>
      <w:tr w:rsidR="00EA66B3" w:rsidRPr="005B3E4E" w14:paraId="62578371" w14:textId="77777777" w:rsidTr="000238D9">
        <w:trPr>
          <w:trHeight w:val="600"/>
          <w:jc w:val="center"/>
        </w:trPr>
        <w:tc>
          <w:tcPr>
            <w:tcW w:w="5780" w:type="dxa"/>
            <w:tcBorders>
              <w:top w:val="nil"/>
              <w:left w:val="nil"/>
              <w:right w:val="nil"/>
            </w:tcBorders>
            <w:shd w:val="clear" w:color="auto" w:fill="auto"/>
            <w:vAlign w:val="center"/>
            <w:hideMark/>
          </w:tcPr>
          <w:p w14:paraId="216CD988" w14:textId="77777777" w:rsidR="00EA66B3" w:rsidRPr="005B3E4E" w:rsidRDefault="00EA66B3" w:rsidP="002B4050">
            <w:pPr>
              <w:spacing w:after="0" w:line="240" w:lineRule="auto"/>
              <w:ind w:right="-1"/>
              <w:rPr>
                <w:rFonts w:ascii="Calibri" w:eastAsia="Times New Roman" w:hAnsi="Calibri" w:cs="Times New Roman"/>
                <w:b/>
                <w:bCs/>
              </w:rPr>
            </w:pPr>
            <w:r w:rsidRPr="005B3E4E">
              <w:rPr>
                <w:rFonts w:ascii="Calibri" w:eastAsia="Times New Roman" w:hAnsi="Calibri" w:cs="Times New Roman"/>
                <w:b/>
                <w:bCs/>
              </w:rPr>
              <w:t>Požiadavky na vlastné zdroje pre pozičné, devízové a komoditné riziko</w:t>
            </w:r>
          </w:p>
        </w:tc>
        <w:tc>
          <w:tcPr>
            <w:tcW w:w="1120" w:type="dxa"/>
            <w:tcBorders>
              <w:top w:val="nil"/>
              <w:left w:val="nil"/>
              <w:right w:val="nil"/>
            </w:tcBorders>
            <w:shd w:val="clear" w:color="auto" w:fill="auto"/>
            <w:noWrap/>
            <w:vAlign w:val="center"/>
            <w:hideMark/>
          </w:tcPr>
          <w:p w14:paraId="67E1F3EC" w14:textId="77777777" w:rsidR="00EA66B3" w:rsidRPr="005B3E4E" w:rsidRDefault="00EA66B3" w:rsidP="002B4050">
            <w:pPr>
              <w:spacing w:after="0"/>
              <w:ind w:right="-1"/>
              <w:jc w:val="right"/>
            </w:pPr>
            <w:r w:rsidRPr="005B3E4E">
              <w:t>0</w:t>
            </w:r>
          </w:p>
        </w:tc>
      </w:tr>
      <w:tr w:rsidR="00EA66B3" w:rsidRPr="005B3E4E" w14:paraId="2A4EE9A7" w14:textId="77777777" w:rsidTr="000238D9">
        <w:trPr>
          <w:trHeight w:val="300"/>
          <w:jc w:val="center"/>
        </w:trPr>
        <w:tc>
          <w:tcPr>
            <w:tcW w:w="5780" w:type="dxa"/>
            <w:tcBorders>
              <w:top w:val="nil"/>
              <w:left w:val="nil"/>
              <w:right w:val="nil"/>
            </w:tcBorders>
            <w:shd w:val="clear" w:color="auto" w:fill="auto"/>
            <w:vAlign w:val="center"/>
            <w:hideMark/>
          </w:tcPr>
          <w:p w14:paraId="525A76AB" w14:textId="77777777" w:rsidR="00EA66B3" w:rsidRPr="005B3E4E" w:rsidRDefault="00EA66B3" w:rsidP="002B4050">
            <w:pPr>
              <w:spacing w:after="0" w:line="240" w:lineRule="auto"/>
              <w:ind w:right="-1"/>
              <w:rPr>
                <w:rFonts w:ascii="Calibri" w:eastAsia="Times New Roman" w:hAnsi="Calibri" w:cs="Times New Roman"/>
                <w:b/>
                <w:bCs/>
              </w:rPr>
            </w:pPr>
            <w:r w:rsidRPr="005B3E4E">
              <w:rPr>
                <w:rFonts w:ascii="Calibri" w:eastAsia="Times New Roman" w:hAnsi="Calibri" w:cs="Times New Roman"/>
                <w:b/>
                <w:bCs/>
              </w:rPr>
              <w:t>Požiadavky na vlastné zdroje pre operačné riziko</w:t>
            </w:r>
          </w:p>
        </w:tc>
        <w:tc>
          <w:tcPr>
            <w:tcW w:w="1120" w:type="dxa"/>
            <w:tcBorders>
              <w:top w:val="nil"/>
              <w:left w:val="nil"/>
              <w:right w:val="nil"/>
            </w:tcBorders>
            <w:shd w:val="clear" w:color="auto" w:fill="auto"/>
            <w:noWrap/>
            <w:vAlign w:val="center"/>
            <w:hideMark/>
          </w:tcPr>
          <w:p w14:paraId="7387582F" w14:textId="6BCC658B" w:rsidR="00EA66B3" w:rsidRPr="005B3E4E" w:rsidRDefault="00032874" w:rsidP="00024FF2">
            <w:pPr>
              <w:spacing w:after="0"/>
              <w:ind w:right="-1"/>
              <w:jc w:val="right"/>
            </w:pPr>
            <w:r w:rsidRPr="005B3E4E">
              <w:t>6 152</w:t>
            </w:r>
          </w:p>
        </w:tc>
      </w:tr>
      <w:tr w:rsidR="00EA66B3" w:rsidRPr="005B3E4E" w14:paraId="72200887" w14:textId="77777777" w:rsidTr="000238D9">
        <w:trPr>
          <w:trHeight w:val="900"/>
          <w:jc w:val="center"/>
        </w:trPr>
        <w:tc>
          <w:tcPr>
            <w:tcW w:w="5780" w:type="dxa"/>
            <w:tcBorders>
              <w:top w:val="nil"/>
              <w:left w:val="nil"/>
              <w:right w:val="nil"/>
            </w:tcBorders>
            <w:shd w:val="clear" w:color="auto" w:fill="auto"/>
            <w:vAlign w:val="center"/>
            <w:hideMark/>
          </w:tcPr>
          <w:p w14:paraId="306678C5" w14:textId="77777777" w:rsidR="00EA66B3" w:rsidRPr="005B3E4E" w:rsidRDefault="00EA66B3" w:rsidP="002B4050">
            <w:pPr>
              <w:spacing w:after="0" w:line="240" w:lineRule="auto"/>
              <w:ind w:right="-1"/>
              <w:rPr>
                <w:rFonts w:ascii="Calibri" w:eastAsia="Times New Roman" w:hAnsi="Calibri" w:cs="Times New Roman"/>
                <w:b/>
                <w:bCs/>
              </w:rPr>
            </w:pPr>
            <w:r w:rsidRPr="005B3E4E">
              <w:rPr>
                <w:rFonts w:ascii="Calibri" w:eastAsia="Times New Roman" w:hAnsi="Calibri" w:cs="Times New Roman"/>
                <w:b/>
                <w:bCs/>
              </w:rPr>
              <w:t>Požiadavky na vlastné zdroje vyplývajúce z dodatočnej hodnoty rizikových expozícií na základe fixných režijných nákladov</w:t>
            </w:r>
          </w:p>
        </w:tc>
        <w:tc>
          <w:tcPr>
            <w:tcW w:w="1120" w:type="dxa"/>
            <w:tcBorders>
              <w:top w:val="nil"/>
              <w:left w:val="nil"/>
              <w:right w:val="nil"/>
            </w:tcBorders>
            <w:shd w:val="clear" w:color="auto" w:fill="auto"/>
            <w:noWrap/>
            <w:vAlign w:val="center"/>
            <w:hideMark/>
          </w:tcPr>
          <w:p w14:paraId="6633F3E2" w14:textId="77777777" w:rsidR="00EA66B3" w:rsidRPr="005B3E4E" w:rsidRDefault="00EA66B3" w:rsidP="002B4050">
            <w:pPr>
              <w:spacing w:after="0"/>
              <w:ind w:right="-1"/>
              <w:jc w:val="right"/>
            </w:pPr>
            <w:r w:rsidRPr="005B3E4E">
              <w:t>0</w:t>
            </w:r>
          </w:p>
        </w:tc>
      </w:tr>
      <w:tr w:rsidR="00EA66B3" w:rsidRPr="005B3E4E" w14:paraId="22CA5801" w14:textId="77777777" w:rsidTr="000238D9">
        <w:trPr>
          <w:trHeight w:val="900"/>
          <w:jc w:val="center"/>
        </w:trPr>
        <w:tc>
          <w:tcPr>
            <w:tcW w:w="5780" w:type="dxa"/>
            <w:tcBorders>
              <w:top w:val="nil"/>
              <w:left w:val="nil"/>
              <w:right w:val="nil"/>
            </w:tcBorders>
            <w:shd w:val="clear" w:color="auto" w:fill="auto"/>
            <w:vAlign w:val="center"/>
            <w:hideMark/>
          </w:tcPr>
          <w:p w14:paraId="51F424AB" w14:textId="77777777" w:rsidR="00EA66B3" w:rsidRPr="005B3E4E" w:rsidRDefault="00EA66B3" w:rsidP="002B4050">
            <w:pPr>
              <w:spacing w:after="0" w:line="240" w:lineRule="auto"/>
              <w:ind w:right="-1"/>
              <w:rPr>
                <w:rFonts w:ascii="Calibri" w:eastAsia="Times New Roman" w:hAnsi="Calibri" w:cs="Times New Roman"/>
                <w:b/>
                <w:bCs/>
              </w:rPr>
            </w:pPr>
            <w:r w:rsidRPr="005B3E4E">
              <w:rPr>
                <w:rFonts w:ascii="Calibri" w:eastAsia="Times New Roman" w:hAnsi="Calibri" w:cs="Times New Roman"/>
                <w:b/>
                <w:bCs/>
              </w:rPr>
              <w:t>Požiadavky na vlastné zdroje vyplývajúce z celkovej hodnoty rizikových expozícií pre úpravu ocenenia pohľadávky</w:t>
            </w:r>
          </w:p>
        </w:tc>
        <w:tc>
          <w:tcPr>
            <w:tcW w:w="1120" w:type="dxa"/>
            <w:tcBorders>
              <w:top w:val="nil"/>
              <w:left w:val="nil"/>
              <w:right w:val="nil"/>
            </w:tcBorders>
            <w:shd w:val="clear" w:color="auto" w:fill="auto"/>
            <w:noWrap/>
            <w:vAlign w:val="center"/>
            <w:hideMark/>
          </w:tcPr>
          <w:p w14:paraId="1E2F9741" w14:textId="77777777" w:rsidR="00EA66B3" w:rsidRPr="005B3E4E" w:rsidRDefault="00EA66B3" w:rsidP="002B4050">
            <w:pPr>
              <w:spacing w:after="0"/>
              <w:ind w:right="-1"/>
              <w:jc w:val="right"/>
            </w:pPr>
            <w:r w:rsidRPr="005B3E4E">
              <w:t>0</w:t>
            </w:r>
          </w:p>
        </w:tc>
      </w:tr>
      <w:tr w:rsidR="00EA66B3" w:rsidRPr="005B3E4E" w14:paraId="66ED804A" w14:textId="77777777" w:rsidTr="000238D9">
        <w:trPr>
          <w:trHeight w:val="900"/>
          <w:jc w:val="center"/>
        </w:trPr>
        <w:tc>
          <w:tcPr>
            <w:tcW w:w="5780" w:type="dxa"/>
            <w:tcBorders>
              <w:top w:val="nil"/>
              <w:left w:val="nil"/>
              <w:right w:val="nil"/>
            </w:tcBorders>
            <w:shd w:val="clear" w:color="auto" w:fill="auto"/>
            <w:vAlign w:val="center"/>
            <w:hideMark/>
          </w:tcPr>
          <w:p w14:paraId="479EEB77" w14:textId="77777777" w:rsidR="00EA66B3" w:rsidRPr="005B3E4E" w:rsidRDefault="00EA66B3" w:rsidP="002B4050">
            <w:pPr>
              <w:spacing w:after="0" w:line="240" w:lineRule="auto"/>
              <w:ind w:right="-1"/>
              <w:rPr>
                <w:rFonts w:ascii="Calibri" w:eastAsia="Times New Roman" w:hAnsi="Calibri" w:cs="Times New Roman"/>
                <w:b/>
                <w:bCs/>
              </w:rPr>
            </w:pPr>
            <w:r w:rsidRPr="005B3E4E">
              <w:rPr>
                <w:rFonts w:ascii="Calibri" w:eastAsia="Times New Roman" w:hAnsi="Calibri" w:cs="Times New Roman"/>
                <w:b/>
                <w:bCs/>
              </w:rPr>
              <w:t>Požiadavky na vlastné zdroje vyplývajúce z celkovej hodnoty rizikových expozícií súvisiacich s veľkou majetkovou angažovanosťou v obchodnej knihe</w:t>
            </w:r>
          </w:p>
        </w:tc>
        <w:tc>
          <w:tcPr>
            <w:tcW w:w="1120" w:type="dxa"/>
            <w:tcBorders>
              <w:top w:val="nil"/>
              <w:left w:val="nil"/>
              <w:right w:val="nil"/>
            </w:tcBorders>
            <w:shd w:val="clear" w:color="auto" w:fill="auto"/>
            <w:noWrap/>
            <w:vAlign w:val="center"/>
            <w:hideMark/>
          </w:tcPr>
          <w:p w14:paraId="36BC0A8C" w14:textId="77777777" w:rsidR="00EA66B3" w:rsidRPr="005B3E4E" w:rsidRDefault="00EA66B3" w:rsidP="002B4050">
            <w:pPr>
              <w:spacing w:after="0"/>
              <w:ind w:right="-1"/>
              <w:jc w:val="right"/>
            </w:pPr>
            <w:r w:rsidRPr="005B3E4E">
              <w:t>0</w:t>
            </w:r>
          </w:p>
        </w:tc>
      </w:tr>
      <w:tr w:rsidR="00EA66B3" w:rsidRPr="009A3D6A" w14:paraId="3D3D7F0D" w14:textId="77777777" w:rsidTr="000238D9">
        <w:trPr>
          <w:trHeight w:val="600"/>
          <w:jc w:val="center"/>
        </w:trPr>
        <w:tc>
          <w:tcPr>
            <w:tcW w:w="5780" w:type="dxa"/>
            <w:tcBorders>
              <w:top w:val="nil"/>
              <w:left w:val="nil"/>
              <w:bottom w:val="single" w:sz="4" w:space="0" w:color="auto"/>
              <w:right w:val="nil"/>
            </w:tcBorders>
            <w:shd w:val="clear" w:color="auto" w:fill="auto"/>
            <w:vAlign w:val="center"/>
            <w:hideMark/>
          </w:tcPr>
          <w:p w14:paraId="405F7225" w14:textId="77777777" w:rsidR="00EA66B3" w:rsidRPr="005B3E4E" w:rsidRDefault="00EA66B3" w:rsidP="002B4050">
            <w:pPr>
              <w:spacing w:after="0" w:line="240" w:lineRule="auto"/>
              <w:ind w:right="-1"/>
              <w:rPr>
                <w:rFonts w:ascii="Calibri" w:eastAsia="Times New Roman" w:hAnsi="Calibri" w:cs="Times New Roman"/>
                <w:b/>
                <w:bCs/>
              </w:rPr>
            </w:pPr>
            <w:r w:rsidRPr="005B3E4E">
              <w:rPr>
                <w:rFonts w:ascii="Calibri" w:eastAsia="Times New Roman" w:hAnsi="Calibri" w:cs="Times New Roman"/>
                <w:b/>
                <w:bCs/>
              </w:rPr>
              <w:t>Požiadavky na vlastné zdroje vyplývajúce z iných hodnôt rizikových expozícií</w:t>
            </w:r>
          </w:p>
        </w:tc>
        <w:tc>
          <w:tcPr>
            <w:tcW w:w="1120" w:type="dxa"/>
            <w:tcBorders>
              <w:top w:val="nil"/>
              <w:left w:val="nil"/>
              <w:bottom w:val="single" w:sz="4" w:space="0" w:color="auto"/>
              <w:right w:val="nil"/>
            </w:tcBorders>
            <w:shd w:val="clear" w:color="auto" w:fill="auto"/>
            <w:noWrap/>
            <w:vAlign w:val="center"/>
            <w:hideMark/>
          </w:tcPr>
          <w:p w14:paraId="28AAD86C" w14:textId="77777777" w:rsidR="00EA66B3" w:rsidRPr="005B3E4E" w:rsidRDefault="00EA66B3" w:rsidP="002B4050">
            <w:pPr>
              <w:spacing w:after="0"/>
              <w:ind w:right="-1"/>
              <w:jc w:val="right"/>
            </w:pPr>
            <w:r w:rsidRPr="005B3E4E">
              <w:t>0</w:t>
            </w:r>
          </w:p>
        </w:tc>
      </w:tr>
    </w:tbl>
    <w:p w14:paraId="7B3FEB10" w14:textId="77777777" w:rsidR="00EA66B3" w:rsidRPr="009A3D6A" w:rsidRDefault="00EA66B3" w:rsidP="002B4050">
      <w:pPr>
        <w:spacing w:line="240" w:lineRule="auto"/>
        <w:ind w:left="567" w:right="-1"/>
        <w:rPr>
          <w:rFonts w:ascii="Arial" w:hAnsi="Arial" w:cs="Arial"/>
          <w:b/>
          <w:sz w:val="20"/>
          <w:szCs w:val="20"/>
          <w:highlight w:val="lightGray"/>
        </w:rPr>
      </w:pPr>
    </w:p>
    <w:p w14:paraId="02D423A7" w14:textId="77777777" w:rsidR="00EA66B3" w:rsidRPr="009A3D6A" w:rsidRDefault="00EA66B3" w:rsidP="002B4050">
      <w:pPr>
        <w:pStyle w:val="ListParagraph"/>
        <w:spacing w:line="240" w:lineRule="auto"/>
        <w:ind w:right="-1"/>
        <w:rPr>
          <w:rFonts w:ascii="Arial" w:hAnsi="Arial" w:cs="Arial"/>
          <w:b/>
          <w:sz w:val="20"/>
          <w:szCs w:val="20"/>
          <w:highlight w:val="lightGray"/>
        </w:rPr>
      </w:pPr>
    </w:p>
    <w:p w14:paraId="1F685CFE" w14:textId="77777777" w:rsidR="00EA66B3" w:rsidRPr="005B3E4E" w:rsidRDefault="00EA66B3" w:rsidP="002B4050">
      <w:pPr>
        <w:pStyle w:val="ListParagraph"/>
        <w:numPr>
          <w:ilvl w:val="0"/>
          <w:numId w:val="3"/>
        </w:numPr>
        <w:ind w:left="567" w:right="-1" w:hanging="501"/>
        <w:rPr>
          <w:rFonts w:ascii="Arial" w:hAnsi="Arial" w:cs="Arial"/>
          <w:b/>
          <w:sz w:val="20"/>
          <w:szCs w:val="20"/>
        </w:rPr>
      </w:pPr>
      <w:r w:rsidRPr="005B3E4E">
        <w:rPr>
          <w:rFonts w:ascii="Arial" w:hAnsi="Arial" w:cs="Arial"/>
          <w:b/>
          <w:sz w:val="20"/>
          <w:szCs w:val="20"/>
        </w:rPr>
        <w:t>Požiadavky na vlastné zdroje vypočítané v súlade s 3. časťou hlavou III, kapitolami 2, 3 a 4 nariadenia č. 575/2013 a zverejnené samostatne</w:t>
      </w:r>
    </w:p>
    <w:p w14:paraId="01C42CE9" w14:textId="4A4377D0" w:rsidR="00EA66B3" w:rsidRPr="005B3E4E" w:rsidRDefault="00032874" w:rsidP="002B4050">
      <w:pPr>
        <w:ind w:left="567" w:right="-1"/>
        <w:jc w:val="both"/>
        <w:rPr>
          <w:rFonts w:ascii="Arial" w:hAnsi="Arial" w:cs="Arial"/>
          <w:sz w:val="20"/>
          <w:szCs w:val="20"/>
        </w:rPr>
      </w:pPr>
      <w:r w:rsidRPr="005B3E4E">
        <w:rPr>
          <w:rFonts w:ascii="Arial" w:hAnsi="Arial" w:cs="Arial"/>
          <w:sz w:val="20"/>
          <w:szCs w:val="20"/>
        </w:rPr>
        <w:t>Banka vypočítala požiadavku na vlastné zdroje na krytie operačného rizika na základe  štandardizovaného prístupu. K 31.</w:t>
      </w:r>
      <w:r w:rsidR="005B3E4E" w:rsidRPr="005B3E4E">
        <w:rPr>
          <w:rFonts w:ascii="Arial" w:hAnsi="Arial" w:cs="Arial"/>
          <w:sz w:val="20"/>
          <w:szCs w:val="20"/>
        </w:rPr>
        <w:t>03</w:t>
      </w:r>
      <w:r w:rsidRPr="005B3E4E">
        <w:rPr>
          <w:rFonts w:ascii="Arial" w:hAnsi="Arial" w:cs="Arial"/>
          <w:sz w:val="20"/>
          <w:szCs w:val="20"/>
        </w:rPr>
        <w:t>.202</w:t>
      </w:r>
      <w:r w:rsidR="005B3E4E" w:rsidRPr="005B3E4E">
        <w:rPr>
          <w:rFonts w:ascii="Arial" w:hAnsi="Arial" w:cs="Arial"/>
          <w:sz w:val="20"/>
          <w:szCs w:val="20"/>
        </w:rPr>
        <w:t>1</w:t>
      </w:r>
      <w:r w:rsidRPr="005B3E4E">
        <w:rPr>
          <w:rFonts w:ascii="Arial" w:hAnsi="Arial" w:cs="Arial"/>
          <w:sz w:val="20"/>
          <w:szCs w:val="20"/>
        </w:rPr>
        <w:t xml:space="preserve"> požiadavka  na  krytie operačného  rizika  predstavuje  hodnotu 6 152 tis. EUR</w:t>
      </w:r>
    </w:p>
    <w:p w14:paraId="155D8B15" w14:textId="77777777" w:rsidR="00EA66B3" w:rsidRPr="009A3D6A" w:rsidRDefault="00EA66B3" w:rsidP="002B4050">
      <w:pPr>
        <w:ind w:left="567" w:right="-1"/>
        <w:rPr>
          <w:rFonts w:ascii="Arial" w:hAnsi="Arial" w:cs="Arial"/>
          <w:b/>
          <w:sz w:val="20"/>
          <w:szCs w:val="20"/>
          <w:highlight w:val="lightGray"/>
        </w:rPr>
      </w:pPr>
    </w:p>
    <w:p w14:paraId="40AD5615" w14:textId="77777777" w:rsidR="00EA66B3" w:rsidRPr="005B3E4E" w:rsidRDefault="00EA66B3" w:rsidP="002B4050">
      <w:pPr>
        <w:ind w:right="-1"/>
        <w:jc w:val="center"/>
        <w:rPr>
          <w:rFonts w:ascii="Arial" w:hAnsi="Arial" w:cs="Arial"/>
          <w:b/>
          <w:sz w:val="26"/>
          <w:szCs w:val="26"/>
        </w:rPr>
      </w:pPr>
      <w:r w:rsidRPr="005B3E4E">
        <w:rPr>
          <w:rFonts w:ascii="Arial" w:hAnsi="Arial" w:cs="Arial"/>
          <w:b/>
          <w:sz w:val="26"/>
          <w:szCs w:val="26"/>
        </w:rPr>
        <w:t>Článok 439 – Expozície voči kreditnému riziku protistrany</w:t>
      </w:r>
    </w:p>
    <w:p w14:paraId="39B27E07" w14:textId="77777777" w:rsidR="00EA66B3" w:rsidRPr="005B3E4E" w:rsidRDefault="00EA66B3" w:rsidP="00CB6699">
      <w:pPr>
        <w:numPr>
          <w:ilvl w:val="0"/>
          <w:numId w:val="19"/>
        </w:numPr>
        <w:ind w:left="567" w:right="-1" w:hanging="501"/>
        <w:contextualSpacing/>
        <w:jc w:val="both"/>
        <w:rPr>
          <w:rFonts w:ascii="Arial" w:hAnsi="Arial" w:cs="Arial"/>
          <w:b/>
          <w:sz w:val="20"/>
          <w:szCs w:val="20"/>
        </w:rPr>
      </w:pPr>
      <w:r w:rsidRPr="005B3E4E">
        <w:rPr>
          <w:rFonts w:ascii="Arial" w:hAnsi="Arial" w:cs="Arial"/>
          <w:b/>
          <w:sz w:val="20"/>
          <w:szCs w:val="20"/>
        </w:rPr>
        <w:t>Opis metodiky použitej na priradenie interného kapitálu a kreditných limitov pre expozície voči kreditným rizikám protistrany</w:t>
      </w:r>
    </w:p>
    <w:p w14:paraId="0F9996A8" w14:textId="77777777" w:rsidR="00EA66B3" w:rsidRPr="005B3E4E" w:rsidRDefault="00EA66B3" w:rsidP="002B4050">
      <w:pPr>
        <w:spacing w:line="240" w:lineRule="auto"/>
        <w:ind w:left="720" w:right="-1"/>
        <w:contextualSpacing/>
        <w:rPr>
          <w:rFonts w:ascii="Arial" w:hAnsi="Arial" w:cs="Arial"/>
          <w:b/>
          <w:sz w:val="20"/>
          <w:szCs w:val="20"/>
        </w:rPr>
      </w:pPr>
    </w:p>
    <w:p w14:paraId="123562C8" w14:textId="6247F04D" w:rsidR="00EA66B3" w:rsidRPr="005B3E4E" w:rsidRDefault="00EA66B3" w:rsidP="002B4050">
      <w:pPr>
        <w:ind w:left="567" w:right="-1"/>
        <w:contextualSpacing/>
        <w:jc w:val="both"/>
        <w:rPr>
          <w:rFonts w:ascii="Arial" w:hAnsi="Arial" w:cs="Arial"/>
          <w:sz w:val="20"/>
          <w:szCs w:val="20"/>
        </w:rPr>
      </w:pPr>
      <w:r w:rsidRPr="005B3E4E">
        <w:rPr>
          <w:rFonts w:ascii="Arial" w:hAnsi="Arial" w:cs="Arial"/>
          <w:sz w:val="20"/>
          <w:szCs w:val="20"/>
        </w:rPr>
        <w:t>Banka využíva na priradenie interného kapitálu štandardizovaný prístup rovnako ako v prípade prvého piliera. Použitá metodika na priradenie vnútorného kapitálu podlieha pravidelnému hodnoteniu orgánmi dohľadu.</w:t>
      </w:r>
    </w:p>
    <w:p w14:paraId="38917033" w14:textId="279D8767" w:rsidR="00E37021" w:rsidRDefault="00E37021" w:rsidP="002B4050">
      <w:pPr>
        <w:ind w:left="567" w:right="-1"/>
        <w:contextualSpacing/>
        <w:jc w:val="both"/>
        <w:rPr>
          <w:rFonts w:ascii="Arial" w:hAnsi="Arial" w:cs="Arial"/>
          <w:sz w:val="20"/>
          <w:szCs w:val="20"/>
          <w:highlight w:val="lightGray"/>
        </w:rPr>
      </w:pPr>
    </w:p>
    <w:p w14:paraId="6160310A" w14:textId="4246366F" w:rsidR="000901F3" w:rsidRDefault="000901F3" w:rsidP="002B4050">
      <w:pPr>
        <w:ind w:left="567" w:right="-1"/>
        <w:contextualSpacing/>
        <w:jc w:val="both"/>
        <w:rPr>
          <w:rFonts w:ascii="Arial" w:hAnsi="Arial" w:cs="Arial"/>
          <w:sz w:val="20"/>
          <w:szCs w:val="20"/>
          <w:highlight w:val="lightGray"/>
        </w:rPr>
      </w:pPr>
    </w:p>
    <w:p w14:paraId="1AA30616" w14:textId="77777777" w:rsidR="000901F3" w:rsidRPr="009A3D6A" w:rsidRDefault="000901F3" w:rsidP="002B4050">
      <w:pPr>
        <w:ind w:left="567" w:right="-1"/>
        <w:contextualSpacing/>
        <w:jc w:val="both"/>
        <w:rPr>
          <w:rFonts w:ascii="Arial" w:hAnsi="Arial" w:cs="Arial"/>
          <w:sz w:val="20"/>
          <w:szCs w:val="20"/>
          <w:highlight w:val="lightGray"/>
        </w:rPr>
      </w:pPr>
    </w:p>
    <w:p w14:paraId="0695DB04" w14:textId="4C0771B6" w:rsidR="00024FF2" w:rsidRPr="009A3D6A" w:rsidRDefault="00024FF2" w:rsidP="002B4050">
      <w:pPr>
        <w:ind w:left="567" w:right="-1"/>
        <w:contextualSpacing/>
        <w:jc w:val="both"/>
        <w:rPr>
          <w:rFonts w:ascii="Arial" w:hAnsi="Arial" w:cs="Arial"/>
          <w:sz w:val="20"/>
          <w:szCs w:val="20"/>
          <w:highlight w:val="lightGray"/>
        </w:rPr>
      </w:pPr>
    </w:p>
    <w:p w14:paraId="232D4EB7" w14:textId="77777777" w:rsidR="00EA66B3" w:rsidRPr="005B3E4E" w:rsidRDefault="00EA66B3" w:rsidP="002B4050">
      <w:pPr>
        <w:numPr>
          <w:ilvl w:val="0"/>
          <w:numId w:val="19"/>
        </w:numPr>
        <w:ind w:left="567" w:right="-1" w:hanging="501"/>
        <w:contextualSpacing/>
        <w:rPr>
          <w:rFonts w:ascii="Arial" w:hAnsi="Arial" w:cs="Arial"/>
          <w:b/>
          <w:sz w:val="20"/>
          <w:szCs w:val="20"/>
        </w:rPr>
      </w:pPr>
      <w:r w:rsidRPr="005B3E4E">
        <w:rPr>
          <w:rFonts w:ascii="Arial" w:hAnsi="Arial" w:cs="Arial"/>
          <w:b/>
          <w:sz w:val="20"/>
          <w:szCs w:val="20"/>
        </w:rPr>
        <w:t xml:space="preserve">Politika zabezpečenia </w:t>
      </w:r>
      <w:proofErr w:type="spellStart"/>
      <w:r w:rsidRPr="005B3E4E">
        <w:rPr>
          <w:rFonts w:ascii="Arial" w:hAnsi="Arial" w:cs="Arial"/>
          <w:b/>
          <w:sz w:val="20"/>
          <w:szCs w:val="20"/>
        </w:rPr>
        <w:t>kolaterálu</w:t>
      </w:r>
      <w:proofErr w:type="spellEnd"/>
      <w:r w:rsidRPr="005B3E4E">
        <w:rPr>
          <w:rFonts w:ascii="Arial" w:hAnsi="Arial" w:cs="Arial"/>
          <w:b/>
          <w:sz w:val="20"/>
          <w:szCs w:val="20"/>
        </w:rPr>
        <w:t xml:space="preserve"> a zriaďovania kreditných rezerv</w:t>
      </w:r>
    </w:p>
    <w:p w14:paraId="1C317FB3" w14:textId="77777777" w:rsidR="00EA66B3" w:rsidRPr="005B3E4E" w:rsidRDefault="00EA66B3" w:rsidP="002B4050">
      <w:pPr>
        <w:spacing w:line="240" w:lineRule="auto"/>
        <w:ind w:left="720" w:right="-1"/>
        <w:contextualSpacing/>
        <w:jc w:val="both"/>
        <w:rPr>
          <w:rFonts w:ascii="Arial" w:eastAsia="Calibri" w:hAnsi="Arial" w:cs="Arial"/>
          <w:sz w:val="20"/>
          <w:szCs w:val="20"/>
        </w:rPr>
      </w:pPr>
    </w:p>
    <w:p w14:paraId="31FCB8DD" w14:textId="77777777" w:rsidR="00EA66B3" w:rsidRPr="005B3E4E" w:rsidRDefault="00EA66B3" w:rsidP="002B4050">
      <w:pPr>
        <w:ind w:left="567" w:right="-1"/>
        <w:contextualSpacing/>
        <w:jc w:val="both"/>
        <w:rPr>
          <w:rFonts w:ascii="Arial" w:eastAsia="Calibri" w:hAnsi="Arial" w:cs="Arial"/>
          <w:sz w:val="20"/>
          <w:szCs w:val="20"/>
        </w:rPr>
      </w:pPr>
      <w:proofErr w:type="spellStart"/>
      <w:r w:rsidRPr="005B3E4E">
        <w:rPr>
          <w:rFonts w:ascii="Arial" w:eastAsia="Calibri" w:hAnsi="Arial" w:cs="Arial"/>
          <w:sz w:val="20"/>
          <w:szCs w:val="20"/>
        </w:rPr>
        <w:t>Kolaterál</w:t>
      </w:r>
      <w:proofErr w:type="spellEnd"/>
      <w:r w:rsidRPr="005B3E4E">
        <w:rPr>
          <w:rFonts w:ascii="Arial" w:eastAsia="Calibri" w:hAnsi="Arial" w:cs="Arial"/>
          <w:sz w:val="20"/>
          <w:szCs w:val="20"/>
        </w:rPr>
        <w:t xml:space="preserve"> je požadovaný od protistrán za účelom krytia prípadných strát z otvorených pozícií vo finančných nástrojoch. Výšku požadovaného </w:t>
      </w:r>
      <w:proofErr w:type="spellStart"/>
      <w:r w:rsidRPr="005B3E4E">
        <w:rPr>
          <w:rFonts w:ascii="Arial" w:eastAsia="Calibri" w:hAnsi="Arial" w:cs="Arial"/>
          <w:sz w:val="20"/>
          <w:szCs w:val="20"/>
        </w:rPr>
        <w:t>kolaterálu</w:t>
      </w:r>
      <w:proofErr w:type="spellEnd"/>
      <w:r w:rsidRPr="005B3E4E">
        <w:rPr>
          <w:rFonts w:ascii="Arial" w:eastAsia="Calibri" w:hAnsi="Arial" w:cs="Arial"/>
          <w:sz w:val="20"/>
          <w:szCs w:val="20"/>
        </w:rPr>
        <w:t xml:space="preserve"> stanovila banka pre jednotlivé finančné nástroje na základe analýzy historického vývoja. Od protistrán, ktorým banka schválila kreditný rámec, nie je </w:t>
      </w:r>
      <w:proofErr w:type="spellStart"/>
      <w:r w:rsidRPr="005B3E4E">
        <w:rPr>
          <w:rFonts w:ascii="Arial" w:eastAsia="Calibri" w:hAnsi="Arial" w:cs="Arial"/>
          <w:sz w:val="20"/>
          <w:szCs w:val="20"/>
        </w:rPr>
        <w:t>kolaterál</w:t>
      </w:r>
      <w:proofErr w:type="spellEnd"/>
      <w:r w:rsidRPr="005B3E4E">
        <w:rPr>
          <w:rFonts w:ascii="Arial" w:eastAsia="Calibri" w:hAnsi="Arial" w:cs="Arial"/>
          <w:sz w:val="20"/>
          <w:szCs w:val="20"/>
        </w:rPr>
        <w:t xml:space="preserve"> vyžadovaný, pokiaľ otvorené pozície nepresiahnu schválený rámec.</w:t>
      </w:r>
    </w:p>
    <w:p w14:paraId="474CD106" w14:textId="77777777" w:rsidR="00EA66B3" w:rsidRPr="009A3D6A" w:rsidRDefault="00EA66B3" w:rsidP="002B4050">
      <w:pPr>
        <w:spacing w:line="240" w:lineRule="auto"/>
        <w:ind w:left="567" w:right="-1"/>
        <w:contextualSpacing/>
        <w:jc w:val="both"/>
        <w:rPr>
          <w:rFonts w:ascii="Arial" w:eastAsia="Calibri" w:hAnsi="Arial" w:cs="Arial"/>
          <w:sz w:val="20"/>
          <w:szCs w:val="20"/>
          <w:highlight w:val="lightGray"/>
        </w:rPr>
      </w:pPr>
    </w:p>
    <w:p w14:paraId="68FBABBE" w14:textId="77777777" w:rsidR="00EA66B3" w:rsidRPr="005B3E4E" w:rsidRDefault="00EA66B3" w:rsidP="002B4050">
      <w:pPr>
        <w:numPr>
          <w:ilvl w:val="0"/>
          <w:numId w:val="19"/>
        </w:numPr>
        <w:ind w:left="567" w:right="-1" w:hanging="501"/>
        <w:contextualSpacing/>
        <w:rPr>
          <w:rFonts w:ascii="Arial" w:hAnsi="Arial" w:cs="Arial"/>
          <w:b/>
          <w:sz w:val="20"/>
          <w:szCs w:val="20"/>
        </w:rPr>
      </w:pPr>
      <w:r w:rsidRPr="005B3E4E">
        <w:rPr>
          <w:rFonts w:ascii="Arial" w:hAnsi="Arial" w:cs="Arial"/>
          <w:b/>
          <w:sz w:val="20"/>
          <w:szCs w:val="20"/>
        </w:rPr>
        <w:t>Politika týkajúca sa expozícií voči riziku korelácie (riziko nesprávnej voľby)</w:t>
      </w:r>
    </w:p>
    <w:p w14:paraId="19F88CB0" w14:textId="77777777" w:rsidR="00EA66B3" w:rsidRPr="005B3E4E" w:rsidRDefault="00EA66B3" w:rsidP="002B4050">
      <w:pPr>
        <w:ind w:left="720" w:right="-1"/>
        <w:contextualSpacing/>
        <w:rPr>
          <w:rFonts w:ascii="Arial" w:hAnsi="Arial" w:cs="Arial"/>
          <w:b/>
          <w:sz w:val="20"/>
          <w:szCs w:val="20"/>
        </w:rPr>
      </w:pPr>
    </w:p>
    <w:p w14:paraId="6F3A0EA8" w14:textId="268352C4" w:rsidR="00EA66B3" w:rsidRPr="005B3E4E" w:rsidRDefault="00EA66B3" w:rsidP="002B4050">
      <w:pPr>
        <w:tabs>
          <w:tab w:val="num" w:pos="0"/>
        </w:tabs>
        <w:ind w:left="567" w:right="-1"/>
        <w:contextualSpacing/>
        <w:jc w:val="both"/>
        <w:rPr>
          <w:rFonts w:ascii="Arial" w:eastAsia="Calibri" w:hAnsi="Arial" w:cs="Arial"/>
          <w:sz w:val="20"/>
          <w:szCs w:val="20"/>
        </w:rPr>
      </w:pPr>
      <w:r w:rsidRPr="005B3E4E">
        <w:rPr>
          <w:rFonts w:ascii="Arial" w:eastAsia="Calibri" w:hAnsi="Arial" w:cs="Arial"/>
          <w:sz w:val="20"/>
          <w:szCs w:val="20"/>
        </w:rPr>
        <w:t>Banka neeviduje pozície, pre ktoré by bola analýza funkčnosti politík t</w:t>
      </w:r>
      <w:r w:rsidR="00941826" w:rsidRPr="005B3E4E">
        <w:rPr>
          <w:rFonts w:ascii="Arial" w:eastAsia="Calibri" w:hAnsi="Arial" w:cs="Arial"/>
          <w:sz w:val="20"/>
          <w:szCs w:val="20"/>
        </w:rPr>
        <w:t>ý</w:t>
      </w:r>
      <w:r w:rsidRPr="005B3E4E">
        <w:rPr>
          <w:rFonts w:ascii="Arial" w:eastAsia="Calibri" w:hAnsi="Arial" w:cs="Arial"/>
          <w:sz w:val="20"/>
          <w:szCs w:val="20"/>
        </w:rPr>
        <w:t xml:space="preserve">kajúcich sa rizika nesprávnej voľby relevantná. </w:t>
      </w:r>
    </w:p>
    <w:p w14:paraId="21513141" w14:textId="77777777" w:rsidR="00EA66B3" w:rsidRPr="005B3E4E" w:rsidRDefault="00EA66B3" w:rsidP="002B4050">
      <w:pPr>
        <w:ind w:left="720" w:right="-1"/>
        <w:contextualSpacing/>
        <w:rPr>
          <w:rFonts w:ascii="Arial" w:hAnsi="Arial" w:cs="Arial"/>
          <w:b/>
          <w:sz w:val="20"/>
          <w:szCs w:val="20"/>
        </w:rPr>
      </w:pPr>
    </w:p>
    <w:p w14:paraId="42DB4595" w14:textId="77777777" w:rsidR="00EA66B3" w:rsidRPr="005B3E4E" w:rsidRDefault="00EA66B3" w:rsidP="00CB6699">
      <w:pPr>
        <w:numPr>
          <w:ilvl w:val="0"/>
          <w:numId w:val="19"/>
        </w:numPr>
        <w:ind w:left="567" w:right="-1" w:hanging="501"/>
        <w:contextualSpacing/>
        <w:jc w:val="both"/>
        <w:rPr>
          <w:rFonts w:ascii="Arial" w:hAnsi="Arial" w:cs="Arial"/>
          <w:b/>
          <w:sz w:val="20"/>
          <w:szCs w:val="20"/>
        </w:rPr>
      </w:pPr>
      <w:r w:rsidRPr="005B3E4E">
        <w:rPr>
          <w:rFonts w:ascii="Arial" w:hAnsi="Arial" w:cs="Arial"/>
          <w:b/>
          <w:sz w:val="20"/>
          <w:szCs w:val="20"/>
        </w:rPr>
        <w:t xml:space="preserve">Opis vplyvu hodnoty </w:t>
      </w:r>
      <w:proofErr w:type="spellStart"/>
      <w:r w:rsidRPr="005B3E4E">
        <w:rPr>
          <w:rFonts w:ascii="Arial" w:hAnsi="Arial" w:cs="Arial"/>
          <w:b/>
          <w:sz w:val="20"/>
          <w:szCs w:val="20"/>
        </w:rPr>
        <w:t>kolaterálu</w:t>
      </w:r>
      <w:proofErr w:type="spellEnd"/>
      <w:r w:rsidRPr="005B3E4E">
        <w:rPr>
          <w:rFonts w:ascii="Arial" w:hAnsi="Arial" w:cs="Arial"/>
          <w:b/>
          <w:sz w:val="20"/>
          <w:szCs w:val="20"/>
        </w:rPr>
        <w:t>, ktorý by musela inštitúcia poskytnúť za predpokladu, že by nastalo zníženie jej kreditného ratingu</w:t>
      </w:r>
    </w:p>
    <w:p w14:paraId="71093D18" w14:textId="77777777" w:rsidR="00EA66B3" w:rsidRPr="005B3E4E" w:rsidRDefault="00EA66B3" w:rsidP="003258EE">
      <w:pPr>
        <w:spacing w:before="360"/>
        <w:ind w:left="567" w:right="-1"/>
        <w:jc w:val="both"/>
        <w:rPr>
          <w:rFonts w:ascii="Arial" w:hAnsi="Arial" w:cs="Arial"/>
          <w:b/>
          <w:sz w:val="20"/>
          <w:szCs w:val="20"/>
        </w:rPr>
      </w:pPr>
      <w:r w:rsidRPr="005B3E4E">
        <w:rPr>
          <w:rFonts w:ascii="Arial" w:hAnsi="Arial" w:cs="Arial"/>
          <w:sz w:val="20"/>
          <w:szCs w:val="20"/>
        </w:rPr>
        <w:t>Banka neeviduje významné pozície, pre ktoré by bola analýza funkčnosti vplyvu hodnoty zabezpečenia, ktoré by banka poskytla za predpokladu, že by nastalo zníženie jej kreditného ratingu, relevantná.</w:t>
      </w:r>
    </w:p>
    <w:p w14:paraId="0A79A501" w14:textId="77777777" w:rsidR="00EA66B3" w:rsidRPr="005B3E4E" w:rsidRDefault="00EA66B3" w:rsidP="00CB6699">
      <w:pPr>
        <w:numPr>
          <w:ilvl w:val="0"/>
          <w:numId w:val="19"/>
        </w:numPr>
        <w:ind w:left="567" w:right="-1" w:hanging="501"/>
        <w:contextualSpacing/>
        <w:jc w:val="both"/>
        <w:rPr>
          <w:rFonts w:ascii="Arial" w:hAnsi="Arial" w:cs="Arial"/>
          <w:b/>
          <w:sz w:val="20"/>
          <w:szCs w:val="20"/>
        </w:rPr>
      </w:pPr>
      <w:r w:rsidRPr="005B3E4E">
        <w:rPr>
          <w:rFonts w:ascii="Arial" w:hAnsi="Arial" w:cs="Arial"/>
          <w:b/>
          <w:sz w:val="20"/>
          <w:szCs w:val="20"/>
        </w:rPr>
        <w:t xml:space="preserve">Hrubá kladná reálna hodnota zmlúv, prínos zo vzájomného započítavania, započítaná aktuálna expozícia voči kreditným rizikám, držaný </w:t>
      </w:r>
      <w:proofErr w:type="spellStart"/>
      <w:r w:rsidRPr="005B3E4E">
        <w:rPr>
          <w:rFonts w:ascii="Arial" w:hAnsi="Arial" w:cs="Arial"/>
          <w:b/>
          <w:sz w:val="20"/>
          <w:szCs w:val="20"/>
        </w:rPr>
        <w:t>kolaterál</w:t>
      </w:r>
      <w:proofErr w:type="spellEnd"/>
      <w:r w:rsidRPr="005B3E4E">
        <w:rPr>
          <w:rFonts w:ascii="Arial" w:hAnsi="Arial" w:cs="Arial"/>
          <w:b/>
          <w:sz w:val="20"/>
          <w:szCs w:val="20"/>
        </w:rPr>
        <w:t xml:space="preserve"> a čistá derivátová expozícia voči kreditným rizikám</w:t>
      </w:r>
    </w:p>
    <w:p w14:paraId="77BBBE66" w14:textId="77777777" w:rsidR="00EA66B3" w:rsidRPr="009A3D6A" w:rsidRDefault="00EA66B3" w:rsidP="002B4050">
      <w:pPr>
        <w:ind w:left="720" w:right="-1"/>
        <w:contextualSpacing/>
        <w:rPr>
          <w:rFonts w:ascii="Arial" w:hAnsi="Arial" w:cs="Arial"/>
          <w:b/>
          <w:sz w:val="20"/>
          <w:szCs w:val="20"/>
          <w:highlight w:val="lightGray"/>
        </w:rPr>
      </w:pPr>
    </w:p>
    <w:p w14:paraId="03092838" w14:textId="496EBAA0" w:rsidR="00EA66B3" w:rsidRPr="00032874" w:rsidRDefault="00032874" w:rsidP="00C309A9">
      <w:pPr>
        <w:ind w:left="567" w:right="-1"/>
        <w:contextualSpacing/>
        <w:rPr>
          <w:rFonts w:ascii="Arial" w:eastAsia="Calibri" w:hAnsi="Arial" w:cs="Arial"/>
          <w:color w:val="000000" w:themeColor="text1"/>
          <w:sz w:val="20"/>
          <w:szCs w:val="20"/>
        </w:rPr>
      </w:pPr>
      <w:r w:rsidRPr="005B3E4E">
        <w:rPr>
          <w:rFonts w:ascii="Arial" w:eastAsia="Calibri" w:hAnsi="Arial" w:cs="Arial"/>
          <w:color w:val="000000" w:themeColor="text1"/>
          <w:sz w:val="20"/>
          <w:szCs w:val="20"/>
        </w:rPr>
        <w:t>K 31.</w:t>
      </w:r>
      <w:r w:rsidR="005B3E4E" w:rsidRPr="005B3E4E">
        <w:rPr>
          <w:rFonts w:ascii="Arial" w:eastAsia="Calibri" w:hAnsi="Arial" w:cs="Arial"/>
          <w:color w:val="000000" w:themeColor="text1"/>
          <w:sz w:val="20"/>
          <w:szCs w:val="20"/>
        </w:rPr>
        <w:t>03</w:t>
      </w:r>
      <w:r w:rsidRPr="005B3E4E">
        <w:rPr>
          <w:rFonts w:ascii="Arial" w:eastAsia="Calibri" w:hAnsi="Arial" w:cs="Arial"/>
          <w:color w:val="000000" w:themeColor="text1"/>
          <w:sz w:val="20"/>
          <w:szCs w:val="20"/>
        </w:rPr>
        <w:t>.202</w:t>
      </w:r>
      <w:r w:rsidR="005B3E4E" w:rsidRPr="005B3E4E">
        <w:rPr>
          <w:rFonts w:ascii="Arial" w:eastAsia="Calibri" w:hAnsi="Arial" w:cs="Arial"/>
          <w:color w:val="000000" w:themeColor="text1"/>
          <w:sz w:val="20"/>
          <w:szCs w:val="20"/>
        </w:rPr>
        <w:t>1</w:t>
      </w:r>
      <w:r w:rsidRPr="005B3E4E">
        <w:rPr>
          <w:rFonts w:ascii="Arial" w:eastAsia="Calibri" w:hAnsi="Arial" w:cs="Arial"/>
          <w:color w:val="000000" w:themeColor="text1"/>
          <w:sz w:val="20"/>
          <w:szCs w:val="20"/>
        </w:rPr>
        <w:t xml:space="preserve"> banka nemala derivátové expozície.</w:t>
      </w:r>
    </w:p>
    <w:p w14:paraId="7A625300" w14:textId="77777777" w:rsidR="00032874" w:rsidRPr="0077686E" w:rsidRDefault="00032874" w:rsidP="002B4050">
      <w:pPr>
        <w:ind w:left="720" w:right="-1"/>
        <w:contextualSpacing/>
        <w:rPr>
          <w:rFonts w:ascii="Arial" w:hAnsi="Arial" w:cs="Arial"/>
          <w:b/>
          <w:sz w:val="20"/>
          <w:szCs w:val="20"/>
          <w:highlight w:val="lightGray"/>
        </w:rPr>
      </w:pPr>
    </w:p>
    <w:p w14:paraId="1158A1D9" w14:textId="77777777" w:rsidR="00EA66B3" w:rsidRPr="005B3E4E" w:rsidRDefault="00EA66B3" w:rsidP="00CB6699">
      <w:pPr>
        <w:numPr>
          <w:ilvl w:val="0"/>
          <w:numId w:val="19"/>
        </w:numPr>
        <w:ind w:left="567" w:right="-1" w:hanging="501"/>
        <w:contextualSpacing/>
        <w:jc w:val="both"/>
        <w:rPr>
          <w:rFonts w:ascii="Arial" w:hAnsi="Arial" w:cs="Arial"/>
          <w:b/>
          <w:sz w:val="20"/>
          <w:szCs w:val="20"/>
        </w:rPr>
      </w:pPr>
      <w:r w:rsidRPr="005B3E4E">
        <w:rPr>
          <w:rFonts w:ascii="Arial" w:hAnsi="Arial" w:cs="Arial"/>
          <w:b/>
          <w:sz w:val="20"/>
          <w:szCs w:val="20"/>
        </w:rPr>
        <w:t>Merania hodnôt expozícií  podľa metód stanovených v 3. časti hlave II kapitole 6 oddieloch 3 - 6 (čl. 274 - 276 nariadenia č. 575/2013), bez ohľadu na to, ktorá z nich sa uplatní</w:t>
      </w:r>
    </w:p>
    <w:p w14:paraId="1045A97A" w14:textId="3159D165" w:rsidR="00EA66B3" w:rsidRPr="005B3E4E" w:rsidRDefault="00EA66B3" w:rsidP="003258EE">
      <w:pPr>
        <w:spacing w:before="360"/>
        <w:ind w:left="567" w:right="-1"/>
        <w:jc w:val="both"/>
        <w:rPr>
          <w:rFonts w:ascii="Arial" w:hAnsi="Arial" w:cs="Arial"/>
          <w:b/>
          <w:sz w:val="20"/>
          <w:szCs w:val="20"/>
        </w:rPr>
      </w:pPr>
      <w:r w:rsidRPr="005B3E4E">
        <w:rPr>
          <w:rFonts w:ascii="Arial" w:eastAsia="Calibri" w:hAnsi="Arial" w:cs="Arial"/>
          <w:sz w:val="20"/>
          <w:szCs w:val="20"/>
        </w:rPr>
        <w:t>Banka pri oceňovaní derivátových obchodov používa metódu oc</w:t>
      </w:r>
      <w:r w:rsidR="009A7969" w:rsidRPr="005B3E4E">
        <w:rPr>
          <w:rFonts w:ascii="Arial" w:eastAsia="Calibri" w:hAnsi="Arial" w:cs="Arial"/>
          <w:sz w:val="20"/>
          <w:szCs w:val="20"/>
        </w:rPr>
        <w:t>eňovania reálnymi hodnotami. V</w:t>
      </w:r>
      <w:r w:rsidR="005B3E4E" w:rsidRPr="005B3E4E">
        <w:rPr>
          <w:rFonts w:ascii="Arial" w:eastAsia="Calibri" w:hAnsi="Arial" w:cs="Arial"/>
          <w:sz w:val="20"/>
          <w:szCs w:val="20"/>
        </w:rPr>
        <w:t> 1.</w:t>
      </w:r>
      <w:r w:rsidRPr="005B3E4E">
        <w:rPr>
          <w:rFonts w:ascii="Arial" w:eastAsia="Calibri" w:hAnsi="Arial" w:cs="Arial"/>
          <w:sz w:val="20"/>
          <w:szCs w:val="20"/>
        </w:rPr>
        <w:t xml:space="preserve"> štvrťroku 20</w:t>
      </w:r>
      <w:r w:rsidR="009A7969" w:rsidRPr="005B3E4E">
        <w:rPr>
          <w:rFonts w:ascii="Arial" w:eastAsia="Calibri" w:hAnsi="Arial" w:cs="Arial"/>
          <w:sz w:val="20"/>
          <w:szCs w:val="20"/>
        </w:rPr>
        <w:t>2</w:t>
      </w:r>
      <w:r w:rsidR="005B3E4E" w:rsidRPr="005B3E4E">
        <w:rPr>
          <w:rFonts w:ascii="Arial" w:eastAsia="Calibri" w:hAnsi="Arial" w:cs="Arial"/>
          <w:sz w:val="20"/>
          <w:szCs w:val="20"/>
        </w:rPr>
        <w:t>1</w:t>
      </w:r>
      <w:r w:rsidRPr="005B3E4E">
        <w:rPr>
          <w:rFonts w:ascii="Arial" w:eastAsia="Calibri" w:hAnsi="Arial" w:cs="Arial"/>
          <w:sz w:val="20"/>
          <w:szCs w:val="20"/>
        </w:rPr>
        <w:t xml:space="preserve"> banka </w:t>
      </w:r>
      <w:r w:rsidR="005B3E4E" w:rsidRPr="005B3E4E">
        <w:rPr>
          <w:rFonts w:ascii="Arial" w:eastAsia="Calibri" w:hAnsi="Arial" w:cs="Arial"/>
          <w:sz w:val="20"/>
          <w:szCs w:val="20"/>
        </w:rPr>
        <w:t>nerealizovala</w:t>
      </w:r>
      <w:r w:rsidRPr="005B3E4E">
        <w:rPr>
          <w:rFonts w:ascii="Arial" w:eastAsia="Calibri" w:hAnsi="Arial" w:cs="Arial"/>
          <w:sz w:val="20"/>
          <w:szCs w:val="20"/>
        </w:rPr>
        <w:t xml:space="preserve"> derivátov</w:t>
      </w:r>
      <w:r w:rsidR="005B3E4E" w:rsidRPr="005B3E4E">
        <w:rPr>
          <w:rFonts w:ascii="Arial" w:eastAsia="Calibri" w:hAnsi="Arial" w:cs="Arial"/>
          <w:sz w:val="20"/>
          <w:szCs w:val="20"/>
        </w:rPr>
        <w:t>é</w:t>
      </w:r>
      <w:r w:rsidRPr="005B3E4E">
        <w:rPr>
          <w:rFonts w:ascii="Arial" w:eastAsia="Calibri" w:hAnsi="Arial" w:cs="Arial"/>
          <w:sz w:val="20"/>
          <w:szCs w:val="20"/>
        </w:rPr>
        <w:t xml:space="preserve"> obchod</w:t>
      </w:r>
      <w:r w:rsidR="005B3E4E" w:rsidRPr="005B3E4E">
        <w:rPr>
          <w:rFonts w:ascii="Arial" w:eastAsia="Calibri" w:hAnsi="Arial" w:cs="Arial"/>
          <w:sz w:val="20"/>
          <w:szCs w:val="20"/>
        </w:rPr>
        <w:t>y</w:t>
      </w:r>
      <w:r w:rsidRPr="005B3E4E">
        <w:t>.</w:t>
      </w:r>
    </w:p>
    <w:p w14:paraId="5B8354CE" w14:textId="77777777" w:rsidR="00EA66B3" w:rsidRPr="005B3E4E" w:rsidRDefault="00EA66B3" w:rsidP="00CB6699">
      <w:pPr>
        <w:numPr>
          <w:ilvl w:val="0"/>
          <w:numId w:val="19"/>
        </w:numPr>
        <w:ind w:left="567" w:right="-1" w:hanging="501"/>
        <w:contextualSpacing/>
        <w:jc w:val="both"/>
        <w:rPr>
          <w:rFonts w:ascii="Arial" w:hAnsi="Arial" w:cs="Arial"/>
          <w:b/>
          <w:sz w:val="20"/>
          <w:szCs w:val="20"/>
        </w:rPr>
      </w:pPr>
      <w:r w:rsidRPr="005B3E4E">
        <w:rPr>
          <w:rFonts w:ascii="Arial" w:hAnsi="Arial" w:cs="Arial"/>
          <w:b/>
          <w:sz w:val="20"/>
          <w:szCs w:val="20"/>
        </w:rPr>
        <w:t xml:space="preserve">Pomyselná hodnota </w:t>
      </w:r>
      <w:proofErr w:type="spellStart"/>
      <w:r w:rsidRPr="005B3E4E">
        <w:rPr>
          <w:rFonts w:ascii="Arial" w:hAnsi="Arial" w:cs="Arial"/>
          <w:b/>
          <w:sz w:val="20"/>
          <w:szCs w:val="20"/>
        </w:rPr>
        <w:t>hedžingu</w:t>
      </w:r>
      <w:proofErr w:type="spellEnd"/>
      <w:r w:rsidRPr="005B3E4E">
        <w:rPr>
          <w:rFonts w:ascii="Arial" w:hAnsi="Arial" w:cs="Arial"/>
          <w:b/>
          <w:sz w:val="20"/>
          <w:szCs w:val="20"/>
        </w:rPr>
        <w:t xml:space="preserve"> kreditnými derivátmi a rozdelenie aktuálnej expozície voči kreditným rizikám podľa typov expozície voči kreditným rizikám</w:t>
      </w:r>
    </w:p>
    <w:p w14:paraId="58595879" w14:textId="77777777" w:rsidR="00EA66B3" w:rsidRPr="009A3D6A" w:rsidRDefault="00EA66B3" w:rsidP="002B4050">
      <w:pPr>
        <w:ind w:left="720" w:right="-1"/>
        <w:contextualSpacing/>
        <w:rPr>
          <w:rFonts w:ascii="Arial" w:hAnsi="Arial" w:cs="Arial"/>
          <w:b/>
          <w:sz w:val="20"/>
          <w:szCs w:val="20"/>
          <w:highlight w:val="lightGray"/>
        </w:rPr>
      </w:pPr>
    </w:p>
    <w:p w14:paraId="76A3FA89" w14:textId="48AC6AB5" w:rsidR="00EA66B3" w:rsidRPr="005B3E4E" w:rsidRDefault="009A7969" w:rsidP="002B4050">
      <w:pPr>
        <w:spacing w:line="240" w:lineRule="auto"/>
        <w:ind w:left="720" w:right="-1" w:hanging="153"/>
        <w:contextualSpacing/>
        <w:jc w:val="both"/>
        <w:rPr>
          <w:rFonts w:ascii="Arial" w:eastAsia="Calibri" w:hAnsi="Arial" w:cs="Arial"/>
          <w:sz w:val="20"/>
          <w:szCs w:val="20"/>
        </w:rPr>
      </w:pPr>
      <w:r w:rsidRPr="005B3E4E">
        <w:rPr>
          <w:rFonts w:ascii="Arial" w:eastAsia="Calibri" w:hAnsi="Arial" w:cs="Arial"/>
          <w:sz w:val="20"/>
          <w:szCs w:val="20"/>
        </w:rPr>
        <w:t>Banka neeviduje k </w:t>
      </w:r>
      <w:r w:rsidR="00E758CD" w:rsidRPr="005B3E4E">
        <w:rPr>
          <w:rFonts w:ascii="Arial" w:eastAsia="Calibri" w:hAnsi="Arial" w:cs="Arial"/>
          <w:sz w:val="20"/>
          <w:szCs w:val="20"/>
        </w:rPr>
        <w:t>3</w:t>
      </w:r>
      <w:r w:rsidR="00083892" w:rsidRPr="005B3E4E">
        <w:rPr>
          <w:rFonts w:ascii="Arial" w:eastAsia="Calibri" w:hAnsi="Arial" w:cs="Arial"/>
          <w:sz w:val="20"/>
          <w:szCs w:val="20"/>
        </w:rPr>
        <w:t>1</w:t>
      </w:r>
      <w:r w:rsidR="00E758CD" w:rsidRPr="005B3E4E">
        <w:rPr>
          <w:rFonts w:ascii="Arial" w:eastAsia="Calibri" w:hAnsi="Arial" w:cs="Arial"/>
          <w:sz w:val="20"/>
          <w:szCs w:val="20"/>
        </w:rPr>
        <w:t>.</w:t>
      </w:r>
      <w:r w:rsidR="005B3E4E" w:rsidRPr="005B3E4E">
        <w:rPr>
          <w:rFonts w:ascii="Arial" w:eastAsia="Calibri" w:hAnsi="Arial" w:cs="Arial"/>
          <w:sz w:val="20"/>
          <w:szCs w:val="20"/>
        </w:rPr>
        <w:t>03</w:t>
      </w:r>
      <w:r w:rsidR="00E758CD" w:rsidRPr="005B3E4E">
        <w:rPr>
          <w:rFonts w:ascii="Arial" w:eastAsia="Calibri" w:hAnsi="Arial" w:cs="Arial"/>
          <w:sz w:val="20"/>
          <w:szCs w:val="20"/>
        </w:rPr>
        <w:t>.202</w:t>
      </w:r>
      <w:r w:rsidR="005B3E4E">
        <w:rPr>
          <w:rFonts w:ascii="Arial" w:eastAsia="Calibri" w:hAnsi="Arial" w:cs="Arial"/>
          <w:sz w:val="20"/>
          <w:szCs w:val="20"/>
        </w:rPr>
        <w:t>1</w:t>
      </w:r>
      <w:r w:rsidR="00EA66B3" w:rsidRPr="005B3E4E">
        <w:rPr>
          <w:rFonts w:ascii="Arial" w:eastAsia="Calibri" w:hAnsi="Arial" w:cs="Arial"/>
          <w:sz w:val="20"/>
          <w:szCs w:val="20"/>
        </w:rPr>
        <w:t xml:space="preserve"> žiadne zabezpečenie kreditnými derivátmi.</w:t>
      </w:r>
    </w:p>
    <w:p w14:paraId="0BCF5F25" w14:textId="77777777" w:rsidR="00EA66B3" w:rsidRPr="009A3D6A" w:rsidRDefault="00EA66B3" w:rsidP="002B4050">
      <w:pPr>
        <w:spacing w:line="240" w:lineRule="auto"/>
        <w:ind w:left="720" w:right="-1" w:hanging="153"/>
        <w:contextualSpacing/>
        <w:jc w:val="both"/>
        <w:rPr>
          <w:rFonts w:ascii="Arial" w:eastAsia="Calibri" w:hAnsi="Arial" w:cs="Arial"/>
          <w:sz w:val="20"/>
          <w:szCs w:val="20"/>
          <w:highlight w:val="lightGray"/>
        </w:rPr>
      </w:pPr>
    </w:p>
    <w:p w14:paraId="2D81CE35" w14:textId="77777777" w:rsidR="00EA66B3" w:rsidRPr="009A3D6A" w:rsidRDefault="00EA66B3" w:rsidP="002B4050">
      <w:pPr>
        <w:ind w:left="720" w:right="-1"/>
        <w:contextualSpacing/>
        <w:rPr>
          <w:rFonts w:ascii="Arial" w:hAnsi="Arial" w:cs="Arial"/>
          <w:b/>
          <w:sz w:val="20"/>
          <w:szCs w:val="20"/>
          <w:highlight w:val="lightGray"/>
        </w:rPr>
      </w:pPr>
    </w:p>
    <w:p w14:paraId="67D090D5" w14:textId="77777777" w:rsidR="00EA66B3" w:rsidRPr="005B3E4E" w:rsidRDefault="00EA66B3" w:rsidP="00CB6699">
      <w:pPr>
        <w:numPr>
          <w:ilvl w:val="0"/>
          <w:numId w:val="19"/>
        </w:numPr>
        <w:ind w:left="567" w:right="-1" w:hanging="501"/>
        <w:contextualSpacing/>
        <w:jc w:val="both"/>
        <w:rPr>
          <w:rFonts w:ascii="Arial" w:hAnsi="Arial" w:cs="Arial"/>
          <w:b/>
          <w:sz w:val="20"/>
          <w:szCs w:val="20"/>
        </w:rPr>
      </w:pPr>
      <w:r w:rsidRPr="005B3E4E">
        <w:rPr>
          <w:rFonts w:ascii="Arial" w:hAnsi="Arial" w:cs="Arial"/>
          <w:b/>
          <w:sz w:val="20"/>
          <w:szCs w:val="20"/>
        </w:rPr>
        <w:t>Pomyselné sumy transakcií s kreditnými derivátmi rozlíšené podľa použitia pre vlastné úverové portfólio inštitúcie a pre jej sprostredkovateľské činnosti vrátane rozdelenia použitých produktov kreditných derivátov rozdelených ďalej podľa kúpeného a predaného zabezpečenia v rámci každej skupiny produktov</w:t>
      </w:r>
    </w:p>
    <w:p w14:paraId="47512374" w14:textId="77777777" w:rsidR="00EA66B3" w:rsidRPr="009A3D6A" w:rsidRDefault="00EA66B3" w:rsidP="002B4050">
      <w:pPr>
        <w:ind w:left="567" w:right="-1"/>
        <w:contextualSpacing/>
        <w:rPr>
          <w:rFonts w:ascii="Arial" w:hAnsi="Arial" w:cs="Arial"/>
          <w:b/>
          <w:sz w:val="20"/>
          <w:szCs w:val="20"/>
          <w:highlight w:val="lightGray"/>
        </w:rPr>
      </w:pPr>
    </w:p>
    <w:p w14:paraId="0EC9FE72" w14:textId="39465CF0" w:rsidR="00EA66B3" w:rsidRPr="005B3E4E" w:rsidRDefault="00EA66B3" w:rsidP="002B4050">
      <w:pPr>
        <w:ind w:left="567" w:right="-1"/>
        <w:rPr>
          <w:rFonts w:ascii="Arial" w:hAnsi="Arial" w:cs="Arial"/>
          <w:b/>
          <w:sz w:val="20"/>
          <w:szCs w:val="20"/>
        </w:rPr>
      </w:pPr>
      <w:r w:rsidRPr="005B3E4E">
        <w:rPr>
          <w:rFonts w:ascii="Arial" w:eastAsia="Calibri" w:hAnsi="Arial" w:cs="Arial"/>
          <w:sz w:val="20"/>
          <w:szCs w:val="20"/>
        </w:rPr>
        <w:t>Banka neeviduje k </w:t>
      </w:r>
      <w:r w:rsidR="00E758CD" w:rsidRPr="005B3E4E">
        <w:rPr>
          <w:rFonts w:ascii="Arial" w:eastAsia="Calibri" w:hAnsi="Arial" w:cs="Arial"/>
          <w:sz w:val="20"/>
          <w:szCs w:val="20"/>
        </w:rPr>
        <w:t>3</w:t>
      </w:r>
      <w:r w:rsidR="00083892" w:rsidRPr="005B3E4E">
        <w:rPr>
          <w:rFonts w:ascii="Arial" w:eastAsia="Calibri" w:hAnsi="Arial" w:cs="Arial"/>
          <w:sz w:val="20"/>
          <w:szCs w:val="20"/>
        </w:rPr>
        <w:t>1</w:t>
      </w:r>
      <w:r w:rsidR="00E758CD" w:rsidRPr="005B3E4E">
        <w:rPr>
          <w:rFonts w:ascii="Arial" w:eastAsia="Calibri" w:hAnsi="Arial" w:cs="Arial"/>
          <w:sz w:val="20"/>
          <w:szCs w:val="20"/>
        </w:rPr>
        <w:t>.</w:t>
      </w:r>
      <w:r w:rsidR="005B3E4E" w:rsidRPr="005B3E4E">
        <w:rPr>
          <w:rFonts w:ascii="Arial" w:eastAsia="Calibri" w:hAnsi="Arial" w:cs="Arial"/>
          <w:sz w:val="20"/>
          <w:szCs w:val="20"/>
        </w:rPr>
        <w:t>03</w:t>
      </w:r>
      <w:r w:rsidR="00E758CD" w:rsidRPr="005B3E4E">
        <w:rPr>
          <w:rFonts w:ascii="Arial" w:eastAsia="Calibri" w:hAnsi="Arial" w:cs="Arial"/>
          <w:sz w:val="20"/>
          <w:szCs w:val="20"/>
        </w:rPr>
        <w:t>.202</w:t>
      </w:r>
      <w:r w:rsidR="005B3E4E" w:rsidRPr="005B3E4E">
        <w:rPr>
          <w:rFonts w:ascii="Arial" w:eastAsia="Calibri" w:hAnsi="Arial" w:cs="Arial"/>
          <w:sz w:val="20"/>
          <w:szCs w:val="20"/>
        </w:rPr>
        <w:t>1</w:t>
      </w:r>
      <w:r w:rsidRPr="005B3E4E">
        <w:rPr>
          <w:rFonts w:ascii="Arial" w:eastAsia="Calibri" w:hAnsi="Arial" w:cs="Arial"/>
          <w:sz w:val="20"/>
          <w:szCs w:val="20"/>
        </w:rPr>
        <w:t xml:space="preserve"> žiadne zabezpečenie kreditnými derivátmi.</w:t>
      </w:r>
    </w:p>
    <w:p w14:paraId="76332511" w14:textId="77777777" w:rsidR="00EA66B3" w:rsidRPr="005B3E4E" w:rsidRDefault="00EA66B3" w:rsidP="002B4050">
      <w:pPr>
        <w:numPr>
          <w:ilvl w:val="0"/>
          <w:numId w:val="19"/>
        </w:numPr>
        <w:ind w:left="567" w:right="-1" w:hanging="501"/>
        <w:contextualSpacing/>
        <w:rPr>
          <w:rFonts w:ascii="Arial" w:hAnsi="Arial" w:cs="Arial"/>
          <w:b/>
          <w:sz w:val="20"/>
          <w:szCs w:val="20"/>
        </w:rPr>
      </w:pPr>
      <w:r w:rsidRPr="005B3E4E">
        <w:rPr>
          <w:rFonts w:ascii="Arial" w:hAnsi="Arial" w:cs="Arial"/>
          <w:b/>
          <w:sz w:val="20"/>
          <w:szCs w:val="20"/>
        </w:rPr>
        <w:t>Odhad α, ak inštitúcia má povolenie príslušných orgánov urobiť odhad α</w:t>
      </w:r>
    </w:p>
    <w:p w14:paraId="2321EC39" w14:textId="77777777" w:rsidR="00EA66B3" w:rsidRPr="005B3E4E" w:rsidRDefault="00EA66B3" w:rsidP="002B4050">
      <w:pPr>
        <w:ind w:left="720" w:right="-1"/>
        <w:contextualSpacing/>
        <w:jc w:val="both"/>
        <w:rPr>
          <w:rFonts w:ascii="Arial" w:eastAsia="Calibri" w:hAnsi="Arial" w:cs="Arial"/>
          <w:sz w:val="20"/>
          <w:szCs w:val="20"/>
        </w:rPr>
      </w:pPr>
    </w:p>
    <w:p w14:paraId="677001AC" w14:textId="74A167C0" w:rsidR="00EA66B3" w:rsidRPr="00B13FC6" w:rsidRDefault="00EA66B3" w:rsidP="002B4050">
      <w:pPr>
        <w:ind w:left="567" w:right="-1"/>
        <w:contextualSpacing/>
        <w:jc w:val="both"/>
        <w:rPr>
          <w:rFonts w:ascii="Arial" w:eastAsia="Calibri" w:hAnsi="Arial" w:cs="Arial"/>
          <w:sz w:val="20"/>
          <w:szCs w:val="20"/>
        </w:rPr>
      </w:pPr>
      <w:r w:rsidRPr="005B3E4E">
        <w:rPr>
          <w:rFonts w:ascii="Arial" w:eastAsia="Calibri" w:hAnsi="Arial" w:cs="Arial"/>
          <w:sz w:val="20"/>
          <w:szCs w:val="20"/>
        </w:rPr>
        <w:t>Banka nemá súhlas oprávneného orgánu k odhadu α</w:t>
      </w:r>
      <w:r w:rsidR="00731D51" w:rsidRPr="005B3E4E">
        <w:rPr>
          <w:rFonts w:ascii="Arial" w:eastAsia="Calibri" w:hAnsi="Arial" w:cs="Arial"/>
          <w:sz w:val="20"/>
          <w:szCs w:val="20"/>
        </w:rPr>
        <w:t>.</w:t>
      </w:r>
    </w:p>
    <w:p w14:paraId="79628EB4" w14:textId="33E9F6D2" w:rsidR="00083892" w:rsidRDefault="00083892" w:rsidP="002B4050">
      <w:pPr>
        <w:ind w:left="567" w:right="-1"/>
        <w:contextualSpacing/>
        <w:jc w:val="both"/>
        <w:rPr>
          <w:rFonts w:ascii="Arial" w:eastAsia="Calibri" w:hAnsi="Arial" w:cs="Arial"/>
          <w:sz w:val="20"/>
          <w:szCs w:val="20"/>
        </w:rPr>
      </w:pPr>
    </w:p>
    <w:p w14:paraId="31AEB812" w14:textId="19867753" w:rsidR="00C309A9" w:rsidRDefault="00C309A9" w:rsidP="002B4050">
      <w:pPr>
        <w:ind w:left="567" w:right="-1"/>
        <w:contextualSpacing/>
        <w:jc w:val="both"/>
        <w:rPr>
          <w:rFonts w:ascii="Arial" w:eastAsia="Calibri" w:hAnsi="Arial" w:cs="Arial"/>
          <w:sz w:val="20"/>
          <w:szCs w:val="20"/>
        </w:rPr>
      </w:pPr>
    </w:p>
    <w:p w14:paraId="3B0C5A91" w14:textId="550987CD" w:rsidR="007C1B4C" w:rsidRDefault="007C1B4C" w:rsidP="002B4050">
      <w:pPr>
        <w:ind w:right="-1"/>
        <w:jc w:val="center"/>
        <w:rPr>
          <w:rFonts w:ascii="Arial" w:hAnsi="Arial" w:cs="Arial"/>
          <w:b/>
          <w:color w:val="000000" w:themeColor="text1"/>
          <w:sz w:val="26"/>
          <w:szCs w:val="26"/>
        </w:rPr>
      </w:pPr>
      <w:r w:rsidRPr="00994BA1">
        <w:rPr>
          <w:rFonts w:ascii="Arial" w:hAnsi="Arial" w:cs="Arial"/>
          <w:b/>
          <w:color w:val="000000" w:themeColor="text1"/>
          <w:sz w:val="26"/>
          <w:szCs w:val="26"/>
        </w:rPr>
        <w:t>Článok 440 – Kapitálové vankúše</w:t>
      </w:r>
    </w:p>
    <w:p w14:paraId="69AB996A" w14:textId="77777777" w:rsidR="00083892" w:rsidRPr="00B13FC6" w:rsidRDefault="00083892" w:rsidP="002B4050">
      <w:pPr>
        <w:ind w:right="-1"/>
        <w:jc w:val="center"/>
        <w:rPr>
          <w:rFonts w:ascii="Arial" w:hAnsi="Arial" w:cs="Arial"/>
          <w:b/>
          <w:color w:val="000000" w:themeColor="text1"/>
          <w:sz w:val="20"/>
          <w:szCs w:val="20"/>
        </w:rPr>
      </w:pPr>
    </w:p>
    <w:p w14:paraId="63FB5367" w14:textId="77777777" w:rsidR="00346F15" w:rsidRPr="00B13FC6" w:rsidRDefault="00346F15" w:rsidP="00CB6699">
      <w:pPr>
        <w:pStyle w:val="ListParagraph"/>
        <w:numPr>
          <w:ilvl w:val="0"/>
          <w:numId w:val="20"/>
        </w:numPr>
        <w:ind w:left="567" w:right="-1" w:hanging="501"/>
        <w:jc w:val="both"/>
        <w:rPr>
          <w:rFonts w:ascii="Arial" w:hAnsi="Arial" w:cs="Arial"/>
          <w:b/>
          <w:color w:val="000000" w:themeColor="text1"/>
          <w:sz w:val="20"/>
          <w:szCs w:val="20"/>
        </w:rPr>
      </w:pPr>
      <w:r w:rsidRPr="00B13FC6">
        <w:rPr>
          <w:rFonts w:ascii="Arial" w:hAnsi="Arial" w:cs="Arial"/>
          <w:b/>
          <w:color w:val="000000" w:themeColor="text1"/>
          <w:sz w:val="20"/>
          <w:szCs w:val="20"/>
        </w:rPr>
        <w:t xml:space="preserve">Geografické rozdelenie expozícií voči kreditným rizikám, relevantné na účely výpočtu </w:t>
      </w:r>
      <w:proofErr w:type="spellStart"/>
      <w:r w:rsidRPr="00B13FC6">
        <w:rPr>
          <w:rFonts w:ascii="Arial" w:hAnsi="Arial" w:cs="Arial"/>
          <w:b/>
          <w:color w:val="000000" w:themeColor="text1"/>
          <w:sz w:val="20"/>
          <w:szCs w:val="20"/>
        </w:rPr>
        <w:t>proticyklických</w:t>
      </w:r>
      <w:proofErr w:type="spellEnd"/>
      <w:r w:rsidRPr="00B13FC6">
        <w:rPr>
          <w:rFonts w:ascii="Arial" w:hAnsi="Arial" w:cs="Arial"/>
          <w:b/>
          <w:color w:val="000000" w:themeColor="text1"/>
          <w:sz w:val="20"/>
          <w:szCs w:val="20"/>
        </w:rPr>
        <w:t xml:space="preserve"> kapitálových vankúšov</w:t>
      </w:r>
    </w:p>
    <w:p w14:paraId="6AA917D5" w14:textId="1FC0B72D" w:rsidR="0059334D" w:rsidRPr="009C6D5F" w:rsidRDefault="00CB34E1" w:rsidP="002B4050">
      <w:pPr>
        <w:ind w:left="567" w:right="-1"/>
        <w:jc w:val="both"/>
        <w:rPr>
          <w:rFonts w:ascii="Arial" w:hAnsi="Arial" w:cs="Arial"/>
          <w:b/>
          <w:color w:val="000000" w:themeColor="text1"/>
          <w:sz w:val="20"/>
          <w:szCs w:val="20"/>
        </w:rPr>
      </w:pPr>
      <w:r w:rsidRPr="00B13FC6">
        <w:rPr>
          <w:rFonts w:ascii="Arial" w:hAnsi="Arial" w:cs="Arial"/>
          <w:bCs/>
          <w:color w:val="000000" w:themeColor="text1"/>
          <w:sz w:val="20"/>
          <w:szCs w:val="20"/>
        </w:rPr>
        <w:t>Banka zaznamenala podľa stavu k </w:t>
      </w:r>
      <w:r w:rsidR="00E758CD">
        <w:rPr>
          <w:rFonts w:ascii="Arial" w:hAnsi="Arial" w:cs="Arial"/>
          <w:bCs/>
          <w:color w:val="000000" w:themeColor="text1"/>
          <w:sz w:val="20"/>
          <w:szCs w:val="20"/>
        </w:rPr>
        <w:t>3</w:t>
      </w:r>
      <w:r w:rsidR="005B5A40">
        <w:rPr>
          <w:rFonts w:ascii="Arial" w:hAnsi="Arial" w:cs="Arial"/>
          <w:bCs/>
          <w:color w:val="000000" w:themeColor="text1"/>
          <w:sz w:val="20"/>
          <w:szCs w:val="20"/>
        </w:rPr>
        <w:t>1.03.2021</w:t>
      </w:r>
      <w:r w:rsidRPr="00B13FC6">
        <w:rPr>
          <w:rFonts w:ascii="Arial" w:hAnsi="Arial" w:cs="Arial"/>
          <w:bCs/>
          <w:color w:val="000000" w:themeColor="text1"/>
          <w:sz w:val="20"/>
          <w:szCs w:val="20"/>
        </w:rPr>
        <w:t xml:space="preserve"> celkové expozície voči expozíciám na ktoré sa </w:t>
      </w:r>
      <w:r w:rsidRPr="009C6D5F">
        <w:rPr>
          <w:rFonts w:ascii="Arial" w:hAnsi="Arial" w:cs="Arial"/>
          <w:bCs/>
          <w:color w:val="000000" w:themeColor="text1"/>
          <w:sz w:val="20"/>
          <w:szCs w:val="20"/>
        </w:rPr>
        <w:t xml:space="preserve">uplatňuje </w:t>
      </w:r>
      <w:proofErr w:type="spellStart"/>
      <w:r w:rsidRPr="009C6D5F">
        <w:rPr>
          <w:rFonts w:ascii="Arial" w:hAnsi="Arial" w:cs="Arial"/>
          <w:bCs/>
          <w:color w:val="000000" w:themeColor="text1"/>
          <w:sz w:val="20"/>
          <w:szCs w:val="20"/>
        </w:rPr>
        <w:t>proticyklický</w:t>
      </w:r>
      <w:proofErr w:type="spellEnd"/>
      <w:r w:rsidRPr="009C6D5F">
        <w:rPr>
          <w:rFonts w:ascii="Arial" w:hAnsi="Arial" w:cs="Arial"/>
          <w:bCs/>
          <w:color w:val="000000" w:themeColor="text1"/>
          <w:sz w:val="20"/>
          <w:szCs w:val="20"/>
        </w:rPr>
        <w:t xml:space="preserve"> kapitálový vankúš vo výške </w:t>
      </w:r>
      <w:r w:rsidR="005B5A40" w:rsidRPr="005B5A40">
        <w:rPr>
          <w:rFonts w:ascii="Arial" w:hAnsi="Arial" w:cs="Arial"/>
          <w:sz w:val="20"/>
          <w:szCs w:val="20"/>
        </w:rPr>
        <w:t>1 245 807</w:t>
      </w:r>
      <w:r w:rsidR="005B5A40" w:rsidRPr="009C6D5F">
        <w:rPr>
          <w:rFonts w:ascii="Arial" w:hAnsi="Arial" w:cs="Arial"/>
          <w:bCs/>
          <w:color w:val="000000" w:themeColor="text1"/>
          <w:sz w:val="20"/>
          <w:szCs w:val="20"/>
        </w:rPr>
        <w:t xml:space="preserve"> </w:t>
      </w:r>
      <w:r w:rsidR="00C309A9">
        <w:rPr>
          <w:rFonts w:ascii="Arial" w:hAnsi="Arial" w:cs="Arial"/>
          <w:bCs/>
          <w:color w:val="000000" w:themeColor="text1"/>
          <w:sz w:val="20"/>
          <w:szCs w:val="20"/>
        </w:rPr>
        <w:t xml:space="preserve"> </w:t>
      </w:r>
      <w:r w:rsidRPr="009C6D5F">
        <w:rPr>
          <w:rFonts w:ascii="Arial" w:hAnsi="Arial" w:cs="Arial"/>
          <w:bCs/>
          <w:color w:val="000000" w:themeColor="text1"/>
          <w:sz w:val="20"/>
          <w:szCs w:val="20"/>
        </w:rPr>
        <w:t>tis. EUR.</w:t>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
          <w:color w:val="000000" w:themeColor="text1"/>
          <w:sz w:val="20"/>
          <w:szCs w:val="20"/>
        </w:rPr>
        <w:tab/>
      </w:r>
    </w:p>
    <w:tbl>
      <w:tblPr>
        <w:tblW w:w="3360" w:type="dxa"/>
        <w:tblInd w:w="937" w:type="dxa"/>
        <w:tblCellMar>
          <w:left w:w="70" w:type="dxa"/>
          <w:right w:w="70" w:type="dxa"/>
        </w:tblCellMar>
        <w:tblLook w:val="04A0" w:firstRow="1" w:lastRow="0" w:firstColumn="1" w:lastColumn="0" w:noHBand="0" w:noVBand="1"/>
      </w:tblPr>
      <w:tblGrid>
        <w:gridCol w:w="2127"/>
        <w:gridCol w:w="1233"/>
      </w:tblGrid>
      <w:tr w:rsidR="00E23A9B" w:rsidRPr="009C6D5F" w14:paraId="2125163F" w14:textId="77777777" w:rsidTr="009C6D5F">
        <w:trPr>
          <w:trHeight w:val="549"/>
        </w:trPr>
        <w:tc>
          <w:tcPr>
            <w:tcW w:w="2127" w:type="dxa"/>
            <w:tcBorders>
              <w:top w:val="single" w:sz="4" w:space="0" w:color="auto"/>
              <w:left w:val="nil"/>
              <w:bottom w:val="single" w:sz="4" w:space="0" w:color="auto"/>
              <w:right w:val="nil"/>
            </w:tcBorders>
            <w:shd w:val="clear" w:color="auto" w:fill="auto"/>
            <w:vAlign w:val="center"/>
            <w:hideMark/>
          </w:tcPr>
          <w:p w14:paraId="740429A8" w14:textId="77777777" w:rsidR="00E23A9B" w:rsidRPr="009C6D5F" w:rsidRDefault="00E23A9B" w:rsidP="002B4050">
            <w:pPr>
              <w:spacing w:after="0" w:line="240" w:lineRule="auto"/>
              <w:ind w:right="-1"/>
              <w:jc w:val="center"/>
              <w:rPr>
                <w:rFonts w:ascii="Calibri" w:eastAsia="Times New Roman" w:hAnsi="Calibri" w:cs="Calibri"/>
                <w:b/>
                <w:bCs/>
              </w:rPr>
            </w:pPr>
            <w:r w:rsidRPr="009C6D5F">
              <w:rPr>
                <w:rFonts w:ascii="Calibri" w:eastAsia="Times New Roman" w:hAnsi="Calibri" w:cs="Calibri"/>
                <w:b/>
                <w:bCs/>
              </w:rPr>
              <w:t>Názov krajiny</w:t>
            </w:r>
          </w:p>
        </w:tc>
        <w:tc>
          <w:tcPr>
            <w:tcW w:w="1233" w:type="dxa"/>
            <w:tcBorders>
              <w:top w:val="single" w:sz="4" w:space="0" w:color="auto"/>
              <w:left w:val="nil"/>
              <w:bottom w:val="single" w:sz="4" w:space="0" w:color="auto"/>
              <w:right w:val="nil"/>
            </w:tcBorders>
            <w:shd w:val="clear" w:color="auto" w:fill="auto"/>
            <w:vAlign w:val="center"/>
            <w:hideMark/>
          </w:tcPr>
          <w:p w14:paraId="614B4F10" w14:textId="77777777" w:rsidR="00E23A9B" w:rsidRPr="009C6D5F" w:rsidRDefault="00E23A9B" w:rsidP="002B4050">
            <w:pPr>
              <w:spacing w:after="0" w:line="240" w:lineRule="auto"/>
              <w:ind w:right="-1"/>
              <w:jc w:val="center"/>
              <w:rPr>
                <w:rFonts w:ascii="Calibri" w:eastAsia="Times New Roman" w:hAnsi="Calibri" w:cs="Calibri"/>
                <w:b/>
                <w:bCs/>
              </w:rPr>
            </w:pPr>
            <w:r w:rsidRPr="009C6D5F">
              <w:rPr>
                <w:rFonts w:ascii="Calibri" w:eastAsia="Times New Roman" w:hAnsi="Calibri" w:cs="Calibri"/>
                <w:b/>
                <w:bCs/>
              </w:rPr>
              <w:t>Expozícia</w:t>
            </w:r>
            <w:r w:rsidRPr="009C6D5F">
              <w:rPr>
                <w:rFonts w:ascii="Calibri" w:eastAsia="Times New Roman" w:hAnsi="Calibri" w:cs="Calibri"/>
                <w:b/>
                <w:bCs/>
              </w:rPr>
              <w:br/>
              <w:t>v tis. EUR</w:t>
            </w:r>
          </w:p>
        </w:tc>
      </w:tr>
      <w:tr w:rsidR="005B5A40" w:rsidRPr="009C6D5F" w14:paraId="29EF3650" w14:textId="77777777" w:rsidTr="007C663B">
        <w:trPr>
          <w:trHeight w:val="288"/>
        </w:trPr>
        <w:tc>
          <w:tcPr>
            <w:tcW w:w="2127" w:type="dxa"/>
            <w:tcBorders>
              <w:top w:val="nil"/>
              <w:left w:val="nil"/>
              <w:bottom w:val="nil"/>
              <w:right w:val="nil"/>
            </w:tcBorders>
            <w:shd w:val="clear" w:color="auto" w:fill="auto"/>
            <w:noWrap/>
            <w:vAlign w:val="bottom"/>
            <w:hideMark/>
          </w:tcPr>
          <w:p w14:paraId="26D324E9" w14:textId="77777777" w:rsidR="005B5A40" w:rsidRPr="009C6D5F" w:rsidRDefault="005B5A40" w:rsidP="005B5A40">
            <w:pPr>
              <w:spacing w:after="0" w:line="240" w:lineRule="auto"/>
              <w:ind w:right="-1"/>
              <w:rPr>
                <w:rFonts w:ascii="Arial" w:eastAsia="Times New Roman" w:hAnsi="Arial" w:cs="Arial"/>
                <w:sz w:val="20"/>
                <w:szCs w:val="20"/>
              </w:rPr>
            </w:pPr>
            <w:r w:rsidRPr="009C6D5F">
              <w:rPr>
                <w:rFonts w:ascii="Arial" w:eastAsia="Times New Roman" w:hAnsi="Arial" w:cs="Arial"/>
                <w:sz w:val="20"/>
                <w:szCs w:val="20"/>
              </w:rPr>
              <w:t>Slovenská republika</w:t>
            </w:r>
          </w:p>
        </w:tc>
        <w:tc>
          <w:tcPr>
            <w:tcW w:w="1233" w:type="dxa"/>
            <w:tcBorders>
              <w:top w:val="nil"/>
              <w:left w:val="nil"/>
              <w:bottom w:val="nil"/>
              <w:right w:val="nil"/>
            </w:tcBorders>
            <w:shd w:val="clear" w:color="auto" w:fill="auto"/>
            <w:noWrap/>
            <w:hideMark/>
          </w:tcPr>
          <w:p w14:paraId="4BB6412D" w14:textId="6137E061" w:rsidR="005B5A40" w:rsidRPr="009C6D5F" w:rsidRDefault="005B5A40" w:rsidP="005B5A40">
            <w:pPr>
              <w:spacing w:after="0" w:line="240" w:lineRule="auto"/>
              <w:jc w:val="right"/>
              <w:rPr>
                <w:rFonts w:ascii="Arial" w:eastAsia="Times New Roman" w:hAnsi="Arial" w:cs="Arial"/>
                <w:sz w:val="20"/>
                <w:szCs w:val="20"/>
              </w:rPr>
            </w:pPr>
            <w:r w:rsidRPr="00254774">
              <w:t>1 236 217</w:t>
            </w:r>
          </w:p>
        </w:tc>
      </w:tr>
      <w:tr w:rsidR="005B5A40" w:rsidRPr="00B13FC6" w14:paraId="3C71A97F" w14:textId="77777777" w:rsidTr="007C663B">
        <w:trPr>
          <w:trHeight w:val="288"/>
        </w:trPr>
        <w:tc>
          <w:tcPr>
            <w:tcW w:w="2127" w:type="dxa"/>
            <w:tcBorders>
              <w:top w:val="nil"/>
              <w:left w:val="nil"/>
              <w:bottom w:val="nil"/>
              <w:right w:val="nil"/>
            </w:tcBorders>
            <w:shd w:val="clear" w:color="auto" w:fill="auto"/>
            <w:noWrap/>
            <w:vAlign w:val="bottom"/>
            <w:hideMark/>
          </w:tcPr>
          <w:p w14:paraId="5903622B" w14:textId="19ED760F" w:rsidR="005B5A40" w:rsidRPr="009C6D5F" w:rsidRDefault="005B5A40" w:rsidP="005B5A40">
            <w:pPr>
              <w:spacing w:after="0" w:line="240" w:lineRule="auto"/>
              <w:ind w:right="-1"/>
              <w:rPr>
                <w:rFonts w:ascii="Arial" w:eastAsia="Times New Roman" w:hAnsi="Arial" w:cs="Arial"/>
                <w:sz w:val="20"/>
                <w:szCs w:val="20"/>
              </w:rPr>
            </w:pPr>
            <w:r w:rsidRPr="009C6D5F">
              <w:rPr>
                <w:rFonts w:ascii="Arial" w:eastAsia="Times New Roman" w:hAnsi="Arial" w:cs="Arial"/>
                <w:sz w:val="20"/>
                <w:szCs w:val="20"/>
              </w:rPr>
              <w:t>Česká republika</w:t>
            </w:r>
          </w:p>
        </w:tc>
        <w:tc>
          <w:tcPr>
            <w:tcW w:w="1233" w:type="dxa"/>
            <w:tcBorders>
              <w:top w:val="nil"/>
              <w:left w:val="nil"/>
              <w:bottom w:val="nil"/>
              <w:right w:val="nil"/>
            </w:tcBorders>
            <w:shd w:val="clear" w:color="auto" w:fill="auto"/>
            <w:noWrap/>
            <w:hideMark/>
          </w:tcPr>
          <w:p w14:paraId="516F7894" w14:textId="3F0F8D18" w:rsidR="005B5A40" w:rsidRPr="009C6D5F" w:rsidRDefault="005B5A40" w:rsidP="005B5A40">
            <w:pPr>
              <w:spacing w:after="0" w:line="240" w:lineRule="auto"/>
              <w:ind w:right="-1"/>
              <w:jc w:val="right"/>
              <w:rPr>
                <w:rFonts w:ascii="Arial" w:eastAsia="Times New Roman" w:hAnsi="Arial" w:cs="Arial"/>
                <w:sz w:val="20"/>
                <w:szCs w:val="20"/>
              </w:rPr>
            </w:pPr>
            <w:r w:rsidRPr="00254774">
              <w:t>9 590</w:t>
            </w:r>
          </w:p>
        </w:tc>
      </w:tr>
      <w:tr w:rsidR="00E23A9B" w:rsidRPr="00B13FC6" w14:paraId="6D2063A5" w14:textId="77777777" w:rsidTr="009C6D5F">
        <w:trPr>
          <w:trHeight w:val="288"/>
        </w:trPr>
        <w:tc>
          <w:tcPr>
            <w:tcW w:w="2127" w:type="dxa"/>
            <w:tcBorders>
              <w:top w:val="nil"/>
              <w:left w:val="nil"/>
              <w:bottom w:val="nil"/>
              <w:right w:val="nil"/>
            </w:tcBorders>
            <w:shd w:val="clear" w:color="auto" w:fill="auto"/>
            <w:noWrap/>
            <w:vAlign w:val="bottom"/>
          </w:tcPr>
          <w:p w14:paraId="0D389BC7" w14:textId="77777777" w:rsidR="00E23A9B" w:rsidRDefault="00E23A9B" w:rsidP="002B4050">
            <w:pPr>
              <w:spacing w:after="0" w:line="240" w:lineRule="auto"/>
              <w:ind w:right="-1"/>
              <w:rPr>
                <w:rFonts w:ascii="Calibri" w:eastAsia="Times New Roman" w:hAnsi="Calibri" w:cs="Calibri"/>
                <w:color w:val="000000"/>
              </w:rPr>
            </w:pPr>
          </w:p>
          <w:p w14:paraId="402B9E8B" w14:textId="431EBCAA" w:rsidR="000535EF" w:rsidRPr="00B13FC6" w:rsidRDefault="000535EF" w:rsidP="002B4050">
            <w:pPr>
              <w:spacing w:after="0" w:line="240" w:lineRule="auto"/>
              <w:ind w:right="-1"/>
              <w:rPr>
                <w:rFonts w:ascii="Calibri" w:eastAsia="Times New Roman" w:hAnsi="Calibri" w:cs="Calibri"/>
                <w:color w:val="000000"/>
              </w:rPr>
            </w:pPr>
          </w:p>
        </w:tc>
        <w:tc>
          <w:tcPr>
            <w:tcW w:w="1233" w:type="dxa"/>
            <w:tcBorders>
              <w:top w:val="nil"/>
              <w:left w:val="nil"/>
              <w:bottom w:val="nil"/>
              <w:right w:val="nil"/>
            </w:tcBorders>
            <w:shd w:val="clear" w:color="auto" w:fill="auto"/>
            <w:noWrap/>
            <w:vAlign w:val="bottom"/>
          </w:tcPr>
          <w:p w14:paraId="646E0E1D" w14:textId="77777777" w:rsidR="00E23A9B" w:rsidRPr="00B13FC6" w:rsidRDefault="00E23A9B" w:rsidP="002B4050">
            <w:pPr>
              <w:spacing w:after="0" w:line="240" w:lineRule="auto"/>
              <w:ind w:right="-1"/>
              <w:jc w:val="right"/>
              <w:rPr>
                <w:rFonts w:ascii="Arial" w:eastAsia="Times New Roman" w:hAnsi="Arial" w:cs="Arial"/>
                <w:sz w:val="20"/>
                <w:szCs w:val="20"/>
              </w:rPr>
            </w:pPr>
          </w:p>
        </w:tc>
      </w:tr>
      <w:tr w:rsidR="009C6D5F" w:rsidRPr="00B13FC6" w14:paraId="431714DA" w14:textId="77777777" w:rsidTr="009C6D5F">
        <w:trPr>
          <w:trHeight w:val="288"/>
        </w:trPr>
        <w:tc>
          <w:tcPr>
            <w:tcW w:w="2127" w:type="dxa"/>
            <w:tcBorders>
              <w:top w:val="nil"/>
              <w:left w:val="nil"/>
              <w:bottom w:val="nil"/>
              <w:right w:val="nil"/>
            </w:tcBorders>
            <w:shd w:val="clear" w:color="auto" w:fill="auto"/>
            <w:noWrap/>
            <w:vAlign w:val="bottom"/>
          </w:tcPr>
          <w:p w14:paraId="61CD58C2" w14:textId="0B5D75C1" w:rsidR="009C6D5F" w:rsidRDefault="009C6D5F" w:rsidP="002B4050">
            <w:pPr>
              <w:spacing w:after="0" w:line="240" w:lineRule="auto"/>
              <w:ind w:right="-1"/>
              <w:rPr>
                <w:rFonts w:ascii="Calibri" w:eastAsia="Times New Roman" w:hAnsi="Calibri" w:cs="Calibri"/>
                <w:color w:val="000000"/>
              </w:rPr>
            </w:pPr>
          </w:p>
        </w:tc>
        <w:tc>
          <w:tcPr>
            <w:tcW w:w="1233" w:type="dxa"/>
            <w:tcBorders>
              <w:top w:val="nil"/>
              <w:left w:val="nil"/>
              <w:bottom w:val="nil"/>
              <w:right w:val="nil"/>
            </w:tcBorders>
            <w:shd w:val="clear" w:color="auto" w:fill="auto"/>
            <w:noWrap/>
            <w:vAlign w:val="bottom"/>
          </w:tcPr>
          <w:p w14:paraId="1DD30297" w14:textId="77777777" w:rsidR="009C6D5F" w:rsidRPr="00B13FC6" w:rsidRDefault="009C6D5F" w:rsidP="002B4050">
            <w:pPr>
              <w:spacing w:after="0" w:line="240" w:lineRule="auto"/>
              <w:ind w:right="-1"/>
              <w:jc w:val="right"/>
              <w:rPr>
                <w:rFonts w:ascii="Arial" w:eastAsia="Times New Roman" w:hAnsi="Arial" w:cs="Arial"/>
                <w:sz w:val="20"/>
                <w:szCs w:val="20"/>
              </w:rPr>
            </w:pPr>
          </w:p>
        </w:tc>
      </w:tr>
    </w:tbl>
    <w:p w14:paraId="20F983B6" w14:textId="77777777" w:rsidR="00346F15" w:rsidRPr="00994BA1" w:rsidRDefault="00346F15" w:rsidP="002B4050">
      <w:pPr>
        <w:pStyle w:val="ListParagraph"/>
        <w:numPr>
          <w:ilvl w:val="0"/>
          <w:numId w:val="20"/>
        </w:numPr>
        <w:ind w:left="567" w:right="-1" w:hanging="501"/>
        <w:rPr>
          <w:rFonts w:ascii="Arial" w:hAnsi="Arial" w:cs="Arial"/>
          <w:b/>
          <w:color w:val="000000" w:themeColor="text1"/>
          <w:sz w:val="20"/>
          <w:szCs w:val="20"/>
        </w:rPr>
      </w:pPr>
      <w:r w:rsidRPr="00994BA1">
        <w:rPr>
          <w:rFonts w:ascii="Arial" w:hAnsi="Arial" w:cs="Arial"/>
          <w:b/>
          <w:color w:val="000000" w:themeColor="text1"/>
          <w:sz w:val="20"/>
          <w:szCs w:val="20"/>
        </w:rPr>
        <w:t xml:space="preserve">Výška </w:t>
      </w:r>
      <w:proofErr w:type="spellStart"/>
      <w:r w:rsidRPr="00994BA1">
        <w:rPr>
          <w:rFonts w:ascii="Arial" w:hAnsi="Arial" w:cs="Arial"/>
          <w:b/>
          <w:color w:val="000000" w:themeColor="text1"/>
          <w:sz w:val="20"/>
          <w:szCs w:val="20"/>
        </w:rPr>
        <w:t>proticyklických</w:t>
      </w:r>
      <w:proofErr w:type="spellEnd"/>
      <w:r w:rsidRPr="00994BA1">
        <w:rPr>
          <w:rFonts w:ascii="Arial" w:hAnsi="Arial" w:cs="Arial"/>
          <w:b/>
          <w:color w:val="000000" w:themeColor="text1"/>
          <w:sz w:val="20"/>
          <w:szCs w:val="20"/>
        </w:rPr>
        <w:t xml:space="preserve"> kapitálových vankúšov špecifických pre banku</w:t>
      </w:r>
    </w:p>
    <w:p w14:paraId="1F3E9F0E" w14:textId="77777777" w:rsidR="00346F15" w:rsidRPr="00B13FC6" w:rsidRDefault="00346F15" w:rsidP="002B4050">
      <w:pPr>
        <w:pStyle w:val="ListParagraph"/>
        <w:ind w:right="-1"/>
        <w:rPr>
          <w:rFonts w:ascii="Arial" w:hAnsi="Arial" w:cs="Arial"/>
          <w:b/>
          <w:color w:val="000000" w:themeColor="text1"/>
          <w:sz w:val="20"/>
          <w:szCs w:val="20"/>
        </w:rPr>
      </w:pPr>
    </w:p>
    <w:p w14:paraId="4068AFEE" w14:textId="2FF5B032" w:rsidR="00346F15" w:rsidRPr="00B13FC6" w:rsidRDefault="00CB34E1" w:rsidP="002B4050">
      <w:pPr>
        <w:pStyle w:val="ListParagraph"/>
        <w:ind w:left="567" w:right="-1"/>
        <w:jc w:val="both"/>
        <w:rPr>
          <w:rFonts w:ascii="Arial" w:hAnsi="Arial" w:cs="Arial"/>
          <w:b/>
          <w:color w:val="000000" w:themeColor="text1"/>
          <w:sz w:val="20"/>
          <w:szCs w:val="20"/>
        </w:rPr>
      </w:pPr>
      <w:r w:rsidRPr="00B13FC6">
        <w:rPr>
          <w:rFonts w:ascii="Arial" w:hAnsi="Arial" w:cs="Arial"/>
          <w:bCs/>
          <w:color w:val="000000" w:themeColor="text1"/>
          <w:sz w:val="20"/>
          <w:szCs w:val="20"/>
        </w:rPr>
        <w:t xml:space="preserve">Výška </w:t>
      </w:r>
      <w:proofErr w:type="spellStart"/>
      <w:r w:rsidRPr="00B13FC6">
        <w:rPr>
          <w:rFonts w:ascii="Arial" w:hAnsi="Arial" w:cs="Arial"/>
          <w:bCs/>
          <w:color w:val="000000" w:themeColor="text1"/>
          <w:sz w:val="20"/>
          <w:szCs w:val="20"/>
        </w:rPr>
        <w:t>proticyklických</w:t>
      </w:r>
      <w:proofErr w:type="spellEnd"/>
      <w:r w:rsidRPr="00B13FC6">
        <w:rPr>
          <w:rFonts w:ascii="Arial" w:hAnsi="Arial" w:cs="Arial"/>
          <w:bCs/>
          <w:color w:val="000000" w:themeColor="text1"/>
          <w:sz w:val="20"/>
          <w:szCs w:val="20"/>
        </w:rPr>
        <w:t xml:space="preserve"> kapitálových vankúšov špecifických pre banku predstavuje </w:t>
      </w:r>
      <w:r w:rsidRPr="009C6D5F">
        <w:rPr>
          <w:rFonts w:ascii="Arial" w:hAnsi="Arial" w:cs="Arial"/>
          <w:bCs/>
          <w:color w:val="000000" w:themeColor="text1"/>
          <w:sz w:val="20"/>
          <w:szCs w:val="20"/>
        </w:rPr>
        <w:t xml:space="preserve">hodnotu </w:t>
      </w:r>
      <w:r w:rsidR="005B5A40" w:rsidRPr="005B5A40">
        <w:rPr>
          <w:rFonts w:ascii="Arial" w:hAnsi="Arial" w:cs="Arial"/>
          <w:bCs/>
          <w:color w:val="000000" w:themeColor="text1"/>
          <w:sz w:val="20"/>
          <w:szCs w:val="20"/>
        </w:rPr>
        <w:t xml:space="preserve">7 867 </w:t>
      </w:r>
      <w:r w:rsidRPr="009C6D5F">
        <w:rPr>
          <w:rFonts w:ascii="Arial" w:hAnsi="Arial" w:cs="Arial"/>
          <w:bCs/>
          <w:color w:val="000000" w:themeColor="text1"/>
          <w:sz w:val="20"/>
          <w:szCs w:val="20"/>
        </w:rPr>
        <w:t>tis.</w:t>
      </w:r>
      <w:r w:rsidRPr="00B13FC6">
        <w:rPr>
          <w:rFonts w:ascii="Arial" w:hAnsi="Arial" w:cs="Arial"/>
          <w:bCs/>
          <w:color w:val="000000" w:themeColor="text1"/>
          <w:sz w:val="20"/>
          <w:szCs w:val="20"/>
        </w:rPr>
        <w:t xml:space="preserve"> EUR.</w:t>
      </w:r>
    </w:p>
    <w:p w14:paraId="07752D09" w14:textId="77777777" w:rsidR="007918D5" w:rsidRPr="00B13FC6" w:rsidRDefault="007918D5" w:rsidP="002B4050">
      <w:pPr>
        <w:ind w:right="-1"/>
        <w:jc w:val="center"/>
        <w:rPr>
          <w:rFonts w:ascii="Arial" w:hAnsi="Arial" w:cs="Arial"/>
          <w:b/>
          <w:color w:val="000000" w:themeColor="text1"/>
          <w:sz w:val="26"/>
          <w:szCs w:val="26"/>
        </w:rPr>
      </w:pPr>
    </w:p>
    <w:p w14:paraId="0B32211E" w14:textId="4903F80A" w:rsidR="00346F15" w:rsidRPr="00C309A9" w:rsidRDefault="00346F15" w:rsidP="002B4050">
      <w:pPr>
        <w:ind w:right="-1"/>
        <w:jc w:val="center"/>
        <w:rPr>
          <w:rFonts w:ascii="Arial" w:hAnsi="Arial" w:cs="Arial"/>
          <w:b/>
          <w:color w:val="000000" w:themeColor="text1"/>
          <w:sz w:val="20"/>
          <w:szCs w:val="20"/>
        </w:rPr>
      </w:pPr>
      <w:r w:rsidRPr="00994BA1">
        <w:rPr>
          <w:rFonts w:ascii="Arial" w:hAnsi="Arial" w:cs="Arial"/>
          <w:b/>
          <w:color w:val="000000" w:themeColor="text1"/>
          <w:sz w:val="26"/>
          <w:szCs w:val="26"/>
        </w:rPr>
        <w:t>Článok 441 – Ukazovatele globálneho systémového významu</w:t>
      </w:r>
    </w:p>
    <w:p w14:paraId="1D2D45B5" w14:textId="77777777" w:rsidR="00346F15" w:rsidRPr="00B13FC6" w:rsidRDefault="00346F15" w:rsidP="002B4050">
      <w:pPr>
        <w:pStyle w:val="ListParagraph"/>
        <w:ind w:left="567" w:right="-1"/>
        <w:rPr>
          <w:rFonts w:ascii="Arial" w:hAnsi="Arial" w:cs="Arial"/>
          <w:b/>
          <w:color w:val="000000" w:themeColor="text1"/>
          <w:sz w:val="20"/>
          <w:szCs w:val="20"/>
        </w:rPr>
      </w:pPr>
      <w:r w:rsidRPr="00C309A9">
        <w:rPr>
          <w:rFonts w:ascii="Arial" w:hAnsi="Arial" w:cs="Arial"/>
          <w:bCs/>
          <w:color w:val="000000" w:themeColor="text1"/>
          <w:sz w:val="20"/>
          <w:szCs w:val="20"/>
        </w:rPr>
        <w:t>Na Banku sa neuplatňuje ustanovenie v zmysle tohto článku.</w:t>
      </w:r>
    </w:p>
    <w:p w14:paraId="6CD7E101" w14:textId="77777777" w:rsidR="00C60CC2" w:rsidRPr="00B13FC6" w:rsidRDefault="00C60CC2" w:rsidP="002B4050">
      <w:pPr>
        <w:pStyle w:val="ListParagraph"/>
        <w:ind w:right="-1"/>
        <w:rPr>
          <w:rFonts w:ascii="Arial" w:hAnsi="Arial" w:cs="Arial"/>
          <w:b/>
          <w:color w:val="0000FF"/>
          <w:sz w:val="20"/>
          <w:szCs w:val="20"/>
        </w:rPr>
      </w:pPr>
    </w:p>
    <w:p w14:paraId="30DFE2AB" w14:textId="77777777" w:rsidR="00C60CC2" w:rsidRPr="00B13FC6" w:rsidRDefault="00C60CC2" w:rsidP="002B4050">
      <w:pPr>
        <w:pStyle w:val="ListParagraph"/>
        <w:ind w:right="-1"/>
        <w:rPr>
          <w:rFonts w:ascii="Arial" w:hAnsi="Arial" w:cs="Arial"/>
          <w:b/>
          <w:sz w:val="20"/>
          <w:szCs w:val="20"/>
        </w:rPr>
      </w:pPr>
    </w:p>
    <w:p w14:paraId="79BF8A0D" w14:textId="77777777" w:rsidR="00F759A9" w:rsidRPr="00B71B35" w:rsidRDefault="00F759A9" w:rsidP="002B4050">
      <w:pPr>
        <w:ind w:right="-1"/>
        <w:jc w:val="center"/>
        <w:rPr>
          <w:rFonts w:ascii="Arial" w:hAnsi="Arial" w:cs="Arial"/>
          <w:b/>
          <w:sz w:val="20"/>
          <w:szCs w:val="20"/>
        </w:rPr>
      </w:pPr>
      <w:r w:rsidRPr="00B71B35">
        <w:rPr>
          <w:rFonts w:ascii="Arial" w:hAnsi="Arial" w:cs="Arial"/>
          <w:b/>
          <w:sz w:val="26"/>
          <w:szCs w:val="26"/>
        </w:rPr>
        <w:t>Článok 442 – Úpravy kreditného rizika</w:t>
      </w:r>
    </w:p>
    <w:p w14:paraId="442005F0" w14:textId="77777777" w:rsidR="00F759A9" w:rsidRPr="00B71B35" w:rsidRDefault="00F759A9" w:rsidP="00CB6699">
      <w:pPr>
        <w:numPr>
          <w:ilvl w:val="0"/>
          <w:numId w:val="21"/>
        </w:numPr>
        <w:ind w:left="567" w:right="-1" w:hanging="501"/>
        <w:contextualSpacing/>
        <w:jc w:val="both"/>
        <w:rPr>
          <w:rFonts w:ascii="Arial" w:hAnsi="Arial" w:cs="Arial"/>
          <w:b/>
          <w:sz w:val="20"/>
          <w:szCs w:val="20"/>
        </w:rPr>
      </w:pPr>
      <w:r w:rsidRPr="00B71B35">
        <w:rPr>
          <w:rFonts w:ascii="Arial" w:hAnsi="Arial" w:cs="Arial"/>
          <w:b/>
          <w:sz w:val="20"/>
          <w:szCs w:val="20"/>
        </w:rPr>
        <w:t>Vymedzenie pojmov "po termíne splatnosti" a "zhoršenej kvality" na účely účtovania pohľadávok</w:t>
      </w:r>
    </w:p>
    <w:p w14:paraId="1B90B3B6" w14:textId="77777777" w:rsidR="00F759A9" w:rsidRPr="00B71B35" w:rsidRDefault="00F759A9" w:rsidP="002B4050">
      <w:pPr>
        <w:ind w:left="720" w:right="-1"/>
        <w:contextualSpacing/>
        <w:jc w:val="both"/>
        <w:rPr>
          <w:rFonts w:ascii="Arial" w:hAnsi="Arial" w:cs="Arial"/>
          <w:sz w:val="20"/>
          <w:szCs w:val="20"/>
        </w:rPr>
      </w:pPr>
    </w:p>
    <w:p w14:paraId="194B19B2"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Pohľadávka po termíne splatnosti je pohľadávka, ktorej akákoľvek časť (istina, úrok, atď.) alebo plná výška nebola splatená v termíne splatnosti, resp. ak je výška pohľadávky vyššia ako je schválený limit.</w:t>
      </w:r>
    </w:p>
    <w:p w14:paraId="71258D90"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Pohľadávky so zníženou hodnotou sú také pohľadávky, v prípade ktorých sa banka na základe dostupných informácií nazdáva, že došlo k výraznému zvýšeniu kreditného rizika od počiatočného vykázania. Pohľadávky s výrazným zvýšením kreditného rizika s identifikovaným znehodnotením banka zaraďuje do dvoch úrovní.</w:t>
      </w:r>
      <w:r w:rsidRPr="00B71B35">
        <w:t xml:space="preserve"> </w:t>
      </w:r>
      <w:r w:rsidRPr="00B71B35">
        <w:rPr>
          <w:rFonts w:ascii="Arial" w:hAnsi="Arial" w:cs="Arial"/>
          <w:sz w:val="20"/>
          <w:szCs w:val="20"/>
        </w:rPr>
        <w:t>Do druhej úrovne patria také pohľadávky, kde došlo k významnému nárastu úverového rizika od prvotného vykázania, ale ešte neexistuje objektívny dôkaz o znížení hodnoty.</w:t>
      </w:r>
      <w:r w:rsidRPr="00B71B35">
        <w:t xml:space="preserve"> </w:t>
      </w:r>
      <w:r w:rsidRPr="00B71B35">
        <w:rPr>
          <w:rFonts w:ascii="Arial" w:hAnsi="Arial" w:cs="Arial"/>
          <w:sz w:val="20"/>
          <w:szCs w:val="20"/>
        </w:rPr>
        <w:t>Do tretej úrovne patria také pohľadávky, kde došlo k výraznému nárastu úverového rizika od prvotného vykázania a existuje objektívny dôkaz o znížení hodnoty.</w:t>
      </w:r>
    </w:p>
    <w:p w14:paraId="48B4CD97" w14:textId="77777777" w:rsidR="00F759A9" w:rsidRPr="00B71B35" w:rsidRDefault="00F759A9" w:rsidP="002B4050">
      <w:pPr>
        <w:ind w:right="-1"/>
        <w:rPr>
          <w:rFonts w:ascii="Arial" w:hAnsi="Arial" w:cs="Arial"/>
          <w:b/>
          <w:sz w:val="20"/>
          <w:szCs w:val="20"/>
        </w:rPr>
      </w:pPr>
    </w:p>
    <w:p w14:paraId="5B3FF27F" w14:textId="77777777" w:rsidR="00F759A9" w:rsidRPr="00B71B35" w:rsidRDefault="00F759A9" w:rsidP="002B4050">
      <w:pPr>
        <w:numPr>
          <w:ilvl w:val="0"/>
          <w:numId w:val="21"/>
        </w:numPr>
        <w:ind w:left="567" w:right="-1" w:hanging="501"/>
        <w:contextualSpacing/>
        <w:rPr>
          <w:rFonts w:ascii="Arial" w:hAnsi="Arial" w:cs="Arial"/>
          <w:b/>
          <w:sz w:val="20"/>
          <w:szCs w:val="20"/>
        </w:rPr>
      </w:pPr>
      <w:r w:rsidRPr="00B71B35">
        <w:rPr>
          <w:rFonts w:ascii="Arial" w:hAnsi="Arial" w:cs="Arial"/>
          <w:b/>
          <w:sz w:val="20"/>
          <w:szCs w:val="20"/>
        </w:rPr>
        <w:t>Opis prístupov a metód prijatých na účely stanovenia špecifických a všeobecných úprav kreditného rizika</w:t>
      </w:r>
    </w:p>
    <w:p w14:paraId="3F46C768" w14:textId="77777777" w:rsidR="00F759A9" w:rsidRPr="00B71B35" w:rsidRDefault="00F759A9" w:rsidP="002B4050">
      <w:pPr>
        <w:spacing w:after="0"/>
        <w:ind w:right="-1"/>
        <w:jc w:val="both"/>
        <w:rPr>
          <w:rFonts w:ascii="Arial" w:hAnsi="Arial" w:cs="Arial"/>
          <w:sz w:val="20"/>
          <w:szCs w:val="20"/>
        </w:rPr>
      </w:pPr>
    </w:p>
    <w:p w14:paraId="195CAF62" w14:textId="77777777" w:rsidR="00F759A9" w:rsidRPr="00B71B35" w:rsidRDefault="00F759A9" w:rsidP="002B4050">
      <w:pPr>
        <w:spacing w:after="0"/>
        <w:ind w:left="567" w:right="-1"/>
        <w:jc w:val="both"/>
        <w:rPr>
          <w:rFonts w:ascii="Arial" w:hAnsi="Arial" w:cs="Arial"/>
          <w:sz w:val="20"/>
          <w:szCs w:val="20"/>
        </w:rPr>
      </w:pPr>
      <w:r w:rsidRPr="00B71B35">
        <w:rPr>
          <w:rFonts w:ascii="Arial" w:hAnsi="Arial" w:cs="Arial"/>
          <w:sz w:val="20"/>
          <w:szCs w:val="20"/>
        </w:rPr>
        <w:t xml:space="preserve">IFRS 9 zavádza trojstupňový model, ktorý zohľadňuje zmeny úverovej kvality už od prvotného vykázania. Požiadavky týkajúce sa zníženia hodnoty sú založené na modeli očakávaných strát z úverov. Oceňovanie opravnej položky na očakávané straty z pohľadávok oceňovaných v amortizovanej hodnote je oblasť, ktorá si vyžaduje použitie komplikovaných modelov a významné predpoklady o budúcich ekonomických podmienkach a úverovom správaní. </w:t>
      </w:r>
    </w:p>
    <w:p w14:paraId="13C10AD6" w14:textId="77777777" w:rsidR="00F759A9" w:rsidRPr="00B71B35" w:rsidRDefault="00F759A9" w:rsidP="002B4050">
      <w:pPr>
        <w:ind w:left="567" w:right="-1"/>
        <w:contextualSpacing/>
        <w:jc w:val="both"/>
        <w:rPr>
          <w:rFonts w:ascii="Arial" w:hAnsi="Arial" w:cs="Arial"/>
          <w:sz w:val="20"/>
          <w:szCs w:val="20"/>
        </w:rPr>
      </w:pPr>
    </w:p>
    <w:p w14:paraId="6FC96B1D"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 xml:space="preserve">Identifikácia očakávaných strát z úverov odzrkadľuje pravdepodobnosťou váženú hodnotu straty, ktorá sa zakladá na posúdení viacerých možných výsledkov pri zohľadnení časovej hodnoty peňazí a primeraných a preukázateľných informácií o minulých udalostiach, súčasných podmienkach a prognózach budúcich ekonomických podmienok, ktoré sú k dátumu zostavenia účtovnej závierky k dispozícii bez neprimeraných nákladov či neúmernej snahy. </w:t>
      </w:r>
    </w:p>
    <w:p w14:paraId="1D1F1A4B"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ab/>
      </w:r>
    </w:p>
    <w:p w14:paraId="4D40724E"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 xml:space="preserve">Banka používa makroekonomický model s výhľadmi na budúcnosť, ktorý stanovuje 5 scenárov s priradenými váhami. Váhy scenárov sa určujú kombináciou štatistickej analýzy a odborného úsudku, pričom sa berie do úvahy rozsah možných výsledkov každého zvoleného scenára. </w:t>
      </w:r>
    </w:p>
    <w:p w14:paraId="3C6E09FB" w14:textId="77777777" w:rsidR="00F759A9" w:rsidRPr="00B71B35" w:rsidRDefault="00F759A9" w:rsidP="002B4050">
      <w:pPr>
        <w:ind w:left="567" w:right="-1"/>
        <w:contextualSpacing/>
        <w:jc w:val="both"/>
        <w:rPr>
          <w:rFonts w:ascii="Arial" w:hAnsi="Arial" w:cs="Arial"/>
          <w:sz w:val="20"/>
          <w:szCs w:val="20"/>
        </w:rPr>
      </w:pPr>
    </w:p>
    <w:p w14:paraId="6481AE62"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Banka vykazuje očakávané straty z pohľadávky vo výške, ktorá sa rovná 12 mesačnej očakávanej úverovej strate, alebo sa rovná výške očakávanej úverovej straty počas celej životnosti pohľadávky. Maximálne obdobie, počas ktorého sa merajú očakávané úverové straty je maximálne zmluvné obdobie, počas ktorého je banka vystavená kreditnému riziku. Ak sa úverové riziko od prvotného vykazovania pohľadávky významne nezvýšilo, banka vykazuje 12 mesačné očakávané straty. Pre očakávané úverové straty počas životnosti banka odhaduje riziko zlyhania, ktoré sa vyskytne na pohľadávke počas celej jej očakávanej životnosti. Očakávaná strata je súčasná hodnota, ktorá je vyjadrená rozdielom medzi zmluvnými peňažnými tokmi a peňažnými tokmi, ktoré banka očakáva že dostane, a ktoré sú diskontované efektívnou úrokovou mierou.</w:t>
      </w:r>
    </w:p>
    <w:p w14:paraId="5E0BDB63" w14:textId="77777777" w:rsidR="00F759A9" w:rsidRPr="00B71B35" w:rsidRDefault="00F759A9" w:rsidP="002B4050">
      <w:pPr>
        <w:ind w:right="-1"/>
        <w:rPr>
          <w:rFonts w:ascii="Arial" w:hAnsi="Arial" w:cs="Arial"/>
          <w:sz w:val="20"/>
          <w:szCs w:val="20"/>
        </w:rPr>
      </w:pPr>
    </w:p>
    <w:p w14:paraId="07EC537D"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Banka znehodnotenie identifikuje pre pohľadávky zaradené do úrovne 1 vo výške očakávaných úverových strát počas doby životnosti, ktoré vyplývajú z možných prípadov zlyhania v nasledujúcich 12 mesiacoch. Pre pohľadávky zaradené do úrovní 2 alebo 3 sa znehodnotenie identifikuje vo výške očakávaných úverových strát počas celej doby životnosti pohľadávky.</w:t>
      </w:r>
    </w:p>
    <w:p w14:paraId="104B92D1" w14:textId="77777777" w:rsidR="00F759A9" w:rsidRPr="009A3D6A" w:rsidRDefault="00F759A9" w:rsidP="002B4050">
      <w:pPr>
        <w:ind w:left="567" w:right="-1"/>
        <w:contextualSpacing/>
        <w:jc w:val="both"/>
        <w:rPr>
          <w:rFonts w:ascii="Arial" w:hAnsi="Arial" w:cs="Arial"/>
          <w:sz w:val="20"/>
          <w:szCs w:val="20"/>
          <w:highlight w:val="red"/>
        </w:rPr>
      </w:pPr>
    </w:p>
    <w:p w14:paraId="3E4C1C71" w14:textId="77777777" w:rsidR="00F759A9" w:rsidRPr="00B71B35" w:rsidRDefault="00F759A9" w:rsidP="002B4050">
      <w:pPr>
        <w:spacing w:after="0"/>
        <w:ind w:left="567" w:right="-1"/>
        <w:contextualSpacing/>
        <w:jc w:val="both"/>
        <w:rPr>
          <w:rFonts w:ascii="Arial" w:hAnsi="Arial" w:cs="Arial"/>
          <w:sz w:val="20"/>
          <w:szCs w:val="20"/>
        </w:rPr>
      </w:pPr>
      <w:r w:rsidRPr="00B71B35">
        <w:rPr>
          <w:rFonts w:ascii="Arial" w:hAnsi="Arial" w:cs="Arial"/>
          <w:sz w:val="20"/>
          <w:szCs w:val="20"/>
        </w:rPr>
        <w:t xml:space="preserve">V prípade </w:t>
      </w:r>
      <w:proofErr w:type="spellStart"/>
      <w:r w:rsidRPr="00B71B35">
        <w:rPr>
          <w:rFonts w:ascii="Arial" w:hAnsi="Arial" w:cs="Arial"/>
          <w:sz w:val="20"/>
          <w:szCs w:val="20"/>
        </w:rPr>
        <w:t>non-retailových</w:t>
      </w:r>
      <w:proofErr w:type="spellEnd"/>
      <w:r w:rsidRPr="00B71B35">
        <w:rPr>
          <w:rFonts w:ascii="Arial" w:hAnsi="Arial" w:cs="Arial"/>
          <w:sz w:val="20"/>
          <w:szCs w:val="20"/>
        </w:rPr>
        <w:t xml:space="preserve"> pohľadávok zaradených v úrovni 3 sa očakávané úverové straty oceňujú individuálnym spôsobom metódou diskontovaných očakávaných tokov pri:</w:t>
      </w:r>
    </w:p>
    <w:p w14:paraId="08EBDD97" w14:textId="77777777" w:rsidR="00F759A9" w:rsidRPr="00B71B35" w:rsidRDefault="00F759A9" w:rsidP="002B4050">
      <w:pPr>
        <w:pStyle w:val="ListParagraph"/>
        <w:numPr>
          <w:ilvl w:val="0"/>
          <w:numId w:val="42"/>
        </w:numPr>
        <w:spacing w:after="0"/>
        <w:ind w:right="-1"/>
        <w:jc w:val="both"/>
        <w:rPr>
          <w:rFonts w:ascii="Arial" w:hAnsi="Arial" w:cs="Arial"/>
          <w:sz w:val="20"/>
          <w:szCs w:val="20"/>
        </w:rPr>
      </w:pPr>
      <w:r w:rsidRPr="00B71B35">
        <w:rPr>
          <w:rFonts w:ascii="Arial" w:hAnsi="Arial" w:cs="Arial"/>
          <w:sz w:val="20"/>
          <w:szCs w:val="20"/>
        </w:rPr>
        <w:t xml:space="preserve">pohľadávkach spravovaných na odbore </w:t>
      </w:r>
      <w:proofErr w:type="spellStart"/>
      <w:r w:rsidRPr="00B71B35">
        <w:rPr>
          <w:rFonts w:ascii="Arial" w:hAnsi="Arial" w:cs="Arial"/>
          <w:sz w:val="20"/>
          <w:szCs w:val="20"/>
        </w:rPr>
        <w:t>Work</w:t>
      </w:r>
      <w:proofErr w:type="spellEnd"/>
      <w:r w:rsidRPr="00B71B35">
        <w:rPr>
          <w:rFonts w:ascii="Arial" w:hAnsi="Arial" w:cs="Arial"/>
          <w:sz w:val="20"/>
          <w:szCs w:val="20"/>
        </w:rPr>
        <w:t xml:space="preserve"> </w:t>
      </w:r>
      <w:proofErr w:type="spellStart"/>
      <w:r w:rsidRPr="00B71B35">
        <w:rPr>
          <w:rFonts w:ascii="Arial" w:hAnsi="Arial" w:cs="Arial"/>
          <w:sz w:val="20"/>
          <w:szCs w:val="20"/>
        </w:rPr>
        <w:t>out</w:t>
      </w:r>
      <w:proofErr w:type="spellEnd"/>
      <w:r w:rsidRPr="00B71B35">
        <w:rPr>
          <w:rFonts w:ascii="Arial" w:hAnsi="Arial" w:cs="Arial"/>
          <w:sz w:val="20"/>
          <w:szCs w:val="20"/>
        </w:rPr>
        <w:t xml:space="preserve"> &amp; Monitoring s výnimkou malých úverových pohľadávok (</w:t>
      </w:r>
      <w:proofErr w:type="spellStart"/>
      <w:r w:rsidRPr="00B71B35">
        <w:rPr>
          <w:rFonts w:ascii="Arial" w:hAnsi="Arial" w:cs="Arial"/>
          <w:sz w:val="20"/>
          <w:szCs w:val="20"/>
        </w:rPr>
        <w:t>mikro</w:t>
      </w:r>
      <w:proofErr w:type="spellEnd"/>
      <w:r w:rsidRPr="00B71B35">
        <w:rPr>
          <w:rFonts w:ascii="Arial" w:hAnsi="Arial" w:cs="Arial"/>
          <w:sz w:val="20"/>
          <w:szCs w:val="20"/>
        </w:rPr>
        <w:t xml:space="preserve"> úvery, ktoré sa oceňujú portfóliovo),</w:t>
      </w:r>
    </w:p>
    <w:p w14:paraId="5BA0A8B8" w14:textId="77777777" w:rsidR="00F759A9" w:rsidRPr="00B71B35" w:rsidRDefault="00F759A9" w:rsidP="002B4050">
      <w:pPr>
        <w:pStyle w:val="ListParagraph"/>
        <w:numPr>
          <w:ilvl w:val="0"/>
          <w:numId w:val="42"/>
        </w:numPr>
        <w:spacing w:after="0"/>
        <w:ind w:right="-1"/>
        <w:jc w:val="both"/>
        <w:rPr>
          <w:rFonts w:ascii="Arial" w:hAnsi="Arial" w:cs="Arial"/>
          <w:sz w:val="20"/>
          <w:szCs w:val="20"/>
        </w:rPr>
      </w:pPr>
      <w:r w:rsidRPr="00B71B35">
        <w:rPr>
          <w:rFonts w:ascii="Arial" w:hAnsi="Arial" w:cs="Arial"/>
          <w:sz w:val="20"/>
          <w:szCs w:val="20"/>
        </w:rPr>
        <w:t xml:space="preserve">pohľadávkach mimo správy odboru </w:t>
      </w:r>
      <w:proofErr w:type="spellStart"/>
      <w:r w:rsidRPr="00B71B35">
        <w:rPr>
          <w:rFonts w:ascii="Arial" w:hAnsi="Arial" w:cs="Arial"/>
          <w:sz w:val="20"/>
          <w:szCs w:val="20"/>
        </w:rPr>
        <w:t>Work</w:t>
      </w:r>
      <w:proofErr w:type="spellEnd"/>
      <w:r w:rsidRPr="00B71B35">
        <w:rPr>
          <w:rFonts w:ascii="Arial" w:hAnsi="Arial" w:cs="Arial"/>
          <w:sz w:val="20"/>
          <w:szCs w:val="20"/>
        </w:rPr>
        <w:t xml:space="preserve"> </w:t>
      </w:r>
      <w:proofErr w:type="spellStart"/>
      <w:r w:rsidRPr="00B71B35">
        <w:rPr>
          <w:rFonts w:ascii="Arial" w:hAnsi="Arial" w:cs="Arial"/>
          <w:sz w:val="20"/>
          <w:szCs w:val="20"/>
        </w:rPr>
        <w:t>out</w:t>
      </w:r>
      <w:proofErr w:type="spellEnd"/>
      <w:r w:rsidRPr="00B71B35">
        <w:rPr>
          <w:rFonts w:ascii="Arial" w:hAnsi="Arial" w:cs="Arial"/>
          <w:sz w:val="20"/>
          <w:szCs w:val="20"/>
        </w:rPr>
        <w:t xml:space="preserve"> &amp; Monitoring s angažovanosťou nad 0,4 mil. Eur.</w:t>
      </w:r>
    </w:p>
    <w:p w14:paraId="3D7583E5"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 xml:space="preserve"> </w:t>
      </w:r>
    </w:p>
    <w:p w14:paraId="6051B4FE"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 xml:space="preserve">V prípade individuálne oceňovaných pohľadávok  sa uplatňujú dva scenáre, tzv. </w:t>
      </w:r>
      <w:proofErr w:type="spellStart"/>
      <w:r w:rsidRPr="00B71B35">
        <w:rPr>
          <w:rFonts w:ascii="Arial" w:hAnsi="Arial" w:cs="Arial"/>
          <w:sz w:val="20"/>
          <w:szCs w:val="20"/>
        </w:rPr>
        <w:t>worst-case</w:t>
      </w:r>
      <w:proofErr w:type="spellEnd"/>
      <w:r w:rsidRPr="00B71B35">
        <w:rPr>
          <w:rFonts w:ascii="Arial" w:hAnsi="Arial" w:cs="Arial"/>
          <w:sz w:val="20"/>
          <w:szCs w:val="20"/>
        </w:rPr>
        <w:t xml:space="preserve"> scenár a </w:t>
      </w:r>
      <w:proofErr w:type="spellStart"/>
      <w:r w:rsidRPr="00B71B35">
        <w:rPr>
          <w:rFonts w:ascii="Arial" w:hAnsi="Arial" w:cs="Arial"/>
          <w:sz w:val="20"/>
          <w:szCs w:val="20"/>
        </w:rPr>
        <w:t>best-case</w:t>
      </w:r>
      <w:proofErr w:type="spellEnd"/>
      <w:r w:rsidRPr="00B71B35">
        <w:rPr>
          <w:rFonts w:ascii="Arial" w:hAnsi="Arial" w:cs="Arial"/>
          <w:sz w:val="20"/>
          <w:szCs w:val="20"/>
        </w:rPr>
        <w:t xml:space="preserve"> scenár. Každý scenár má priradenú váhu pravdepodobnosti rôznych očakávaní budúcich peňažných tokov a konečné zníženie hodnoty sa vypočíta podľa váženého priemeru oboch scenárov. Závažnosť každého scenára sa opiera o odborný úsudok. Každý scenár môže obsahovať očakávané peňažné toky z obchodného hľadiska ako aj z možného uplatnenia zabezpečenia. </w:t>
      </w:r>
    </w:p>
    <w:p w14:paraId="39995515" w14:textId="77777777" w:rsidR="00F759A9" w:rsidRPr="00B71B35" w:rsidRDefault="00F759A9" w:rsidP="002B4050">
      <w:pPr>
        <w:ind w:left="567" w:right="-1"/>
        <w:contextualSpacing/>
        <w:jc w:val="both"/>
        <w:rPr>
          <w:rFonts w:ascii="Arial" w:hAnsi="Arial" w:cs="Arial"/>
          <w:sz w:val="20"/>
          <w:szCs w:val="20"/>
        </w:rPr>
      </w:pPr>
    </w:p>
    <w:p w14:paraId="4A61D42E" w14:textId="77777777" w:rsidR="00F759A9" w:rsidRPr="00B71B35" w:rsidRDefault="00F759A9" w:rsidP="002B4050">
      <w:pPr>
        <w:spacing w:after="0"/>
        <w:ind w:left="567" w:right="-1"/>
        <w:contextualSpacing/>
        <w:jc w:val="both"/>
        <w:rPr>
          <w:rFonts w:ascii="Arial" w:hAnsi="Arial" w:cs="Arial"/>
          <w:sz w:val="20"/>
          <w:szCs w:val="20"/>
        </w:rPr>
      </w:pPr>
      <w:r w:rsidRPr="00B71B35">
        <w:rPr>
          <w:rFonts w:ascii="Arial" w:hAnsi="Arial" w:cs="Arial"/>
          <w:sz w:val="20"/>
          <w:szCs w:val="20"/>
        </w:rPr>
        <w:t>V prípade ostatných pohľadávok zaradených do úrovne 3 a pohľadávok zaradených do úrovne 1 a 2  sa očakávané úverové straty oceňujú portfóliovým prístupom. Posúdenie úverového rizika portfólia pohľadávok zahŕňa ďalšie odhady, ako pravdepodobnosť výskytu zlyhania a súvisiace pomerové ukazovatele straty. Banka oceňuje úverové riziko pomocou:</w:t>
      </w:r>
    </w:p>
    <w:p w14:paraId="2615C27A" w14:textId="77777777" w:rsidR="00F759A9" w:rsidRPr="00B71B35" w:rsidRDefault="00F759A9" w:rsidP="002B4050">
      <w:pPr>
        <w:pStyle w:val="ListParagraph"/>
        <w:numPr>
          <w:ilvl w:val="0"/>
          <w:numId w:val="43"/>
        </w:numPr>
        <w:spacing w:after="0"/>
        <w:ind w:right="-1"/>
        <w:jc w:val="both"/>
        <w:rPr>
          <w:rFonts w:ascii="Arial" w:hAnsi="Arial" w:cs="Arial"/>
          <w:sz w:val="20"/>
          <w:szCs w:val="20"/>
        </w:rPr>
      </w:pPr>
      <w:r w:rsidRPr="00B71B35">
        <w:rPr>
          <w:rFonts w:ascii="Arial" w:hAnsi="Arial" w:cs="Arial"/>
          <w:sz w:val="20"/>
          <w:szCs w:val="20"/>
        </w:rPr>
        <w:t>pravdepodobnosti zlyhania (</w:t>
      </w:r>
      <w:proofErr w:type="spellStart"/>
      <w:r w:rsidRPr="00B71B35">
        <w:rPr>
          <w:rFonts w:ascii="Arial" w:hAnsi="Arial" w:cs="Arial"/>
          <w:sz w:val="20"/>
          <w:szCs w:val="20"/>
        </w:rPr>
        <w:t>probability</w:t>
      </w:r>
      <w:proofErr w:type="spellEnd"/>
      <w:r w:rsidRPr="00B71B35">
        <w:rPr>
          <w:rFonts w:ascii="Arial" w:hAnsi="Arial" w:cs="Arial"/>
          <w:sz w:val="20"/>
          <w:szCs w:val="20"/>
        </w:rPr>
        <w:t xml:space="preserve"> of default – PD), </w:t>
      </w:r>
    </w:p>
    <w:p w14:paraId="2BD28D06" w14:textId="77777777" w:rsidR="00F759A9" w:rsidRPr="00B71B35" w:rsidRDefault="00F759A9" w:rsidP="002B4050">
      <w:pPr>
        <w:pStyle w:val="ListParagraph"/>
        <w:numPr>
          <w:ilvl w:val="0"/>
          <w:numId w:val="43"/>
        </w:numPr>
        <w:spacing w:after="0"/>
        <w:ind w:right="-1"/>
        <w:jc w:val="both"/>
        <w:rPr>
          <w:rFonts w:ascii="Arial" w:hAnsi="Arial" w:cs="Arial"/>
          <w:sz w:val="20"/>
          <w:szCs w:val="20"/>
        </w:rPr>
      </w:pPr>
      <w:r w:rsidRPr="00B71B35">
        <w:rPr>
          <w:rFonts w:ascii="Arial" w:hAnsi="Arial" w:cs="Arial"/>
          <w:sz w:val="20"/>
          <w:szCs w:val="20"/>
        </w:rPr>
        <w:t>expozície pri zlyhaní (</w:t>
      </w:r>
      <w:proofErr w:type="spellStart"/>
      <w:r w:rsidRPr="00B71B35">
        <w:rPr>
          <w:rFonts w:ascii="Arial" w:hAnsi="Arial" w:cs="Arial"/>
          <w:sz w:val="20"/>
          <w:szCs w:val="20"/>
        </w:rPr>
        <w:t>exposure</w:t>
      </w:r>
      <w:proofErr w:type="spellEnd"/>
      <w:r w:rsidRPr="00B71B35">
        <w:rPr>
          <w:rFonts w:ascii="Arial" w:hAnsi="Arial" w:cs="Arial"/>
          <w:sz w:val="20"/>
          <w:szCs w:val="20"/>
        </w:rPr>
        <w:t xml:space="preserve"> at default – EAD) a </w:t>
      </w:r>
    </w:p>
    <w:p w14:paraId="4778FCB1" w14:textId="77777777" w:rsidR="00F759A9" w:rsidRPr="00B71B35" w:rsidRDefault="00F759A9" w:rsidP="002B4050">
      <w:pPr>
        <w:pStyle w:val="ListParagraph"/>
        <w:numPr>
          <w:ilvl w:val="0"/>
          <w:numId w:val="43"/>
        </w:numPr>
        <w:spacing w:after="0"/>
        <w:ind w:right="-1"/>
        <w:jc w:val="both"/>
        <w:rPr>
          <w:rFonts w:ascii="Arial" w:hAnsi="Arial" w:cs="Arial"/>
          <w:sz w:val="20"/>
          <w:szCs w:val="20"/>
        </w:rPr>
      </w:pPr>
      <w:r w:rsidRPr="00B71B35">
        <w:rPr>
          <w:rFonts w:ascii="Arial" w:hAnsi="Arial" w:cs="Arial"/>
          <w:sz w:val="20"/>
          <w:szCs w:val="20"/>
        </w:rPr>
        <w:t>straty v prípade zlyhania (</w:t>
      </w:r>
      <w:proofErr w:type="spellStart"/>
      <w:r w:rsidRPr="00B71B35">
        <w:rPr>
          <w:rFonts w:ascii="Arial" w:hAnsi="Arial" w:cs="Arial"/>
          <w:sz w:val="20"/>
          <w:szCs w:val="20"/>
        </w:rPr>
        <w:t>loss</w:t>
      </w:r>
      <w:proofErr w:type="spellEnd"/>
      <w:r w:rsidRPr="00B71B35">
        <w:rPr>
          <w:rFonts w:ascii="Arial" w:hAnsi="Arial" w:cs="Arial"/>
          <w:sz w:val="20"/>
          <w:szCs w:val="20"/>
        </w:rPr>
        <w:t xml:space="preserve"> </w:t>
      </w:r>
      <w:proofErr w:type="spellStart"/>
      <w:r w:rsidRPr="00B71B35">
        <w:rPr>
          <w:rFonts w:ascii="Arial" w:hAnsi="Arial" w:cs="Arial"/>
          <w:sz w:val="20"/>
          <w:szCs w:val="20"/>
        </w:rPr>
        <w:t>given</w:t>
      </w:r>
      <w:proofErr w:type="spellEnd"/>
      <w:r w:rsidRPr="00B71B35">
        <w:rPr>
          <w:rFonts w:ascii="Arial" w:hAnsi="Arial" w:cs="Arial"/>
          <w:sz w:val="20"/>
          <w:szCs w:val="20"/>
        </w:rPr>
        <w:t xml:space="preserve"> default – LGD). </w:t>
      </w:r>
    </w:p>
    <w:p w14:paraId="0782E028" w14:textId="77777777" w:rsidR="00F759A9" w:rsidRPr="009A3D6A" w:rsidRDefault="00F759A9" w:rsidP="002B4050">
      <w:pPr>
        <w:ind w:left="567" w:right="-1"/>
        <w:contextualSpacing/>
        <w:jc w:val="both"/>
        <w:rPr>
          <w:rFonts w:ascii="Arial" w:hAnsi="Arial" w:cs="Arial"/>
          <w:sz w:val="20"/>
          <w:szCs w:val="20"/>
          <w:highlight w:val="red"/>
        </w:rPr>
      </w:pPr>
    </w:p>
    <w:p w14:paraId="42DE0771"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Do stanovenia pravdepodobnosti zlyhania, expozície pri zlyhaní a straty v prípade zlyhania počas obdobia 12 mesiacov a doby očakávanej životnosti pohľadávky sú zahrnuté aj ekonomické informácie zamerané na budúcnosť. Tieto predpoklady sa líšia podľa typu produktu a portfólia. Výška očakávaných úverových strát je diskontovaným súčinom pravdepodobnosti zlyhania (PD), straty v prípade zlyhania (LGD), expozície v čase zlyhania (EAD) a diskontného faktora. Pre diskontovanie sa využíva efektívna úroková miera.</w:t>
      </w:r>
    </w:p>
    <w:p w14:paraId="5AD05AA2" w14:textId="77777777" w:rsidR="00F759A9" w:rsidRPr="00B71B35" w:rsidRDefault="00F759A9" w:rsidP="002B4050">
      <w:pPr>
        <w:ind w:left="567" w:right="-1"/>
        <w:contextualSpacing/>
        <w:jc w:val="both"/>
        <w:rPr>
          <w:rFonts w:ascii="Arial" w:hAnsi="Arial" w:cs="Arial"/>
          <w:sz w:val="20"/>
          <w:szCs w:val="20"/>
        </w:rPr>
      </w:pPr>
    </w:p>
    <w:p w14:paraId="0631D7DD"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Pravdepodobnosť zlyhania (PD) predstavuje pravdepodobnosť, že dlžník nesplní svoj finančný záväzok počas nasledujúcich 12 mesiacov, alebo počas zostávajúcej doby životnosti záväzku. Pre výpočet pravdepodobnosti zlyhania sa používajú rôzne štatistické metódy na odhad vývoja tejto pravdepodobnosti od prvotného vykázania počas celej doby životnosti pohľadávok.</w:t>
      </w:r>
    </w:p>
    <w:p w14:paraId="4132F90D" w14:textId="77777777" w:rsidR="00F759A9" w:rsidRPr="00B71B35" w:rsidRDefault="00F759A9" w:rsidP="002B4050">
      <w:pPr>
        <w:ind w:left="567" w:right="-1"/>
        <w:contextualSpacing/>
        <w:jc w:val="both"/>
        <w:rPr>
          <w:rFonts w:ascii="Arial" w:hAnsi="Arial" w:cs="Arial"/>
          <w:sz w:val="20"/>
          <w:szCs w:val="20"/>
        </w:rPr>
      </w:pPr>
    </w:p>
    <w:p w14:paraId="5B89314D" w14:textId="77777777" w:rsidR="00F759A9" w:rsidRPr="00B71B35" w:rsidRDefault="00F759A9" w:rsidP="002B4050">
      <w:pPr>
        <w:ind w:left="567" w:right="-1"/>
        <w:contextualSpacing/>
        <w:jc w:val="both"/>
        <w:rPr>
          <w:rFonts w:ascii="Arial" w:hAnsi="Arial" w:cs="Arial"/>
          <w:sz w:val="20"/>
          <w:szCs w:val="20"/>
        </w:rPr>
      </w:pPr>
      <w:r w:rsidRPr="00B71B35">
        <w:rPr>
          <w:rFonts w:ascii="Arial" w:hAnsi="Arial" w:cs="Arial"/>
          <w:sz w:val="20"/>
          <w:szCs w:val="20"/>
        </w:rPr>
        <w:t xml:space="preserve">Strata v prípade zlyhania (LGD) je štandardne vyjadrená ako percentuálna strata na expozíciu v čase zlyhania. Pri výpočte sa berú  do úvahy predovšetkým splátky úverov, očakávané peňažné toky z </w:t>
      </w:r>
      <w:proofErr w:type="spellStart"/>
      <w:r w:rsidRPr="00B71B35">
        <w:rPr>
          <w:rFonts w:ascii="Arial" w:hAnsi="Arial" w:cs="Arial"/>
          <w:sz w:val="20"/>
          <w:szCs w:val="20"/>
        </w:rPr>
        <w:t>kolaterálov</w:t>
      </w:r>
      <w:proofErr w:type="spellEnd"/>
      <w:r w:rsidRPr="00B71B35">
        <w:rPr>
          <w:rFonts w:ascii="Arial" w:hAnsi="Arial" w:cs="Arial"/>
          <w:sz w:val="20"/>
          <w:szCs w:val="20"/>
        </w:rPr>
        <w:t xml:space="preserve"> a príslušné časové vplyvy. Samotný výpočet sa líši podľa typu produktu a formy zabezpečenia. Výpočet sa automaticky neidentifikuje iba s pozorovanými historickými  údajmi, ale zohľadňuje aj zmeny faktorov ovplyvňujúcich LGD, berúc do úvahy aj makroekonomické vplyvy. </w:t>
      </w:r>
    </w:p>
    <w:p w14:paraId="39353F0C" w14:textId="77777777" w:rsidR="00F759A9" w:rsidRPr="00B71B35" w:rsidRDefault="00F759A9" w:rsidP="002B4050">
      <w:pPr>
        <w:ind w:left="567" w:right="-1"/>
        <w:contextualSpacing/>
        <w:jc w:val="both"/>
        <w:rPr>
          <w:rFonts w:ascii="Arial" w:hAnsi="Arial" w:cs="Arial"/>
          <w:sz w:val="20"/>
          <w:szCs w:val="20"/>
        </w:rPr>
      </w:pPr>
    </w:p>
    <w:p w14:paraId="4AC094A9" w14:textId="77777777" w:rsidR="00F759A9" w:rsidRPr="00B13FC6" w:rsidRDefault="00F759A9" w:rsidP="002B4050">
      <w:pPr>
        <w:spacing w:after="0"/>
        <w:ind w:left="567" w:right="-1"/>
        <w:jc w:val="both"/>
        <w:rPr>
          <w:rFonts w:ascii="Arial" w:hAnsi="Arial" w:cs="Arial"/>
          <w:sz w:val="20"/>
          <w:szCs w:val="20"/>
        </w:rPr>
      </w:pPr>
      <w:r w:rsidRPr="00B71B35">
        <w:rPr>
          <w:rFonts w:ascii="Arial" w:hAnsi="Arial" w:cs="Arial"/>
          <w:sz w:val="20"/>
          <w:szCs w:val="20"/>
        </w:rPr>
        <w:t>Expozícia v čase zlyhania je založená na sumách, ktoré sa očakávajú, že budú splatné v čase zlyhania počas nasledujúcich 12 mesiacov alebo počas zostávajúcej doby životnosti pohľadávky. Expozície pri zlyhaní počas doby 12 mesiacov a doby životnosti sa určujú na základe očakávaných peňažných tokov.</w:t>
      </w:r>
    </w:p>
    <w:p w14:paraId="75674AD7" w14:textId="77777777" w:rsidR="00C60CC2" w:rsidRPr="00B13FC6" w:rsidRDefault="00C60CC2" w:rsidP="002B4050">
      <w:pPr>
        <w:spacing w:after="0"/>
        <w:ind w:left="567" w:right="-1"/>
        <w:jc w:val="both"/>
        <w:rPr>
          <w:rFonts w:ascii="Arial" w:hAnsi="Arial" w:cs="Arial"/>
          <w:color w:val="2E74B5" w:themeColor="accent1" w:themeShade="BF"/>
          <w:sz w:val="20"/>
          <w:szCs w:val="20"/>
        </w:rPr>
      </w:pPr>
    </w:p>
    <w:p w14:paraId="16AF142B" w14:textId="77777777" w:rsidR="00346F15" w:rsidRPr="00037327" w:rsidRDefault="00346F15" w:rsidP="00CB6699">
      <w:pPr>
        <w:pStyle w:val="ListParagraph"/>
        <w:numPr>
          <w:ilvl w:val="0"/>
          <w:numId w:val="21"/>
        </w:numPr>
        <w:ind w:left="567" w:right="-1" w:hanging="501"/>
        <w:jc w:val="both"/>
        <w:rPr>
          <w:rFonts w:ascii="Arial" w:hAnsi="Arial" w:cs="Arial"/>
          <w:b/>
          <w:color w:val="000000" w:themeColor="text1"/>
          <w:sz w:val="20"/>
          <w:szCs w:val="20"/>
        </w:rPr>
      </w:pPr>
      <w:r w:rsidRPr="00037327">
        <w:rPr>
          <w:rFonts w:ascii="Arial" w:hAnsi="Arial" w:cs="Arial"/>
          <w:b/>
          <w:color w:val="000000" w:themeColor="text1"/>
          <w:sz w:val="20"/>
          <w:szCs w:val="20"/>
        </w:rPr>
        <w:t>Celková hodnota expozícií po účtovnom započítaní a bez zohľadnenia účinkov zmierňovania kreditného rizika a priemerná hodnota expozícií za dané obdobie v členení podľa tried expozícií</w:t>
      </w:r>
    </w:p>
    <w:tbl>
      <w:tblPr>
        <w:tblW w:w="9295" w:type="dxa"/>
        <w:tblInd w:w="55" w:type="dxa"/>
        <w:tblCellMar>
          <w:left w:w="70" w:type="dxa"/>
          <w:right w:w="70" w:type="dxa"/>
        </w:tblCellMar>
        <w:tblLook w:val="04A0" w:firstRow="1" w:lastRow="0" w:firstColumn="1" w:lastColumn="0" w:noHBand="0" w:noVBand="1"/>
      </w:tblPr>
      <w:tblGrid>
        <w:gridCol w:w="5981"/>
        <w:gridCol w:w="1443"/>
        <w:gridCol w:w="1871"/>
      </w:tblGrid>
      <w:tr w:rsidR="002C6F50" w:rsidRPr="009C6D5F" w14:paraId="0A27693D" w14:textId="77777777" w:rsidTr="00250FCC">
        <w:trPr>
          <w:trHeight w:val="267"/>
        </w:trPr>
        <w:tc>
          <w:tcPr>
            <w:tcW w:w="5981" w:type="dxa"/>
            <w:tcBorders>
              <w:top w:val="nil"/>
              <w:left w:val="nil"/>
              <w:bottom w:val="nil"/>
              <w:right w:val="nil"/>
            </w:tcBorders>
            <w:shd w:val="clear" w:color="auto" w:fill="auto"/>
            <w:noWrap/>
            <w:vAlign w:val="bottom"/>
            <w:hideMark/>
          </w:tcPr>
          <w:p w14:paraId="04996C5C" w14:textId="77777777" w:rsidR="002C6F50" w:rsidRPr="00B13FC6" w:rsidRDefault="002C6F50" w:rsidP="002C6F50">
            <w:pPr>
              <w:spacing w:after="0" w:line="240" w:lineRule="auto"/>
              <w:rPr>
                <w:rFonts w:ascii="Arial" w:eastAsia="Times New Roman" w:hAnsi="Arial" w:cs="Arial"/>
                <w:sz w:val="20"/>
                <w:szCs w:val="20"/>
              </w:rPr>
            </w:pPr>
          </w:p>
        </w:tc>
        <w:tc>
          <w:tcPr>
            <w:tcW w:w="1443" w:type="dxa"/>
            <w:tcBorders>
              <w:top w:val="nil"/>
              <w:left w:val="nil"/>
              <w:bottom w:val="nil"/>
              <w:right w:val="nil"/>
            </w:tcBorders>
            <w:shd w:val="clear" w:color="auto" w:fill="auto"/>
            <w:noWrap/>
            <w:vAlign w:val="bottom"/>
            <w:hideMark/>
          </w:tcPr>
          <w:p w14:paraId="0CDEAF76" w14:textId="77777777" w:rsidR="002C6F50" w:rsidRPr="00B13FC6" w:rsidRDefault="002C6F50" w:rsidP="002C6F50">
            <w:pPr>
              <w:spacing w:after="0" w:line="240" w:lineRule="auto"/>
              <w:rPr>
                <w:rFonts w:ascii="Arial" w:eastAsia="Times New Roman" w:hAnsi="Arial" w:cs="Arial"/>
                <w:sz w:val="20"/>
                <w:szCs w:val="20"/>
              </w:rPr>
            </w:pPr>
          </w:p>
        </w:tc>
        <w:tc>
          <w:tcPr>
            <w:tcW w:w="1871" w:type="dxa"/>
            <w:tcBorders>
              <w:top w:val="nil"/>
              <w:left w:val="nil"/>
              <w:bottom w:val="nil"/>
              <w:right w:val="nil"/>
            </w:tcBorders>
            <w:shd w:val="clear" w:color="auto" w:fill="auto"/>
            <w:noWrap/>
            <w:vAlign w:val="bottom"/>
            <w:hideMark/>
          </w:tcPr>
          <w:p w14:paraId="55FDF185" w14:textId="77777777" w:rsidR="002C6F50" w:rsidRPr="009C6D5F" w:rsidRDefault="002C6F50" w:rsidP="002C6F50">
            <w:pPr>
              <w:spacing w:after="0" w:line="240" w:lineRule="auto"/>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F74D89" w:rsidRPr="009C6D5F" w14:paraId="2715633F" w14:textId="77777777" w:rsidTr="00250FCC">
        <w:trPr>
          <w:trHeight w:val="598"/>
        </w:trPr>
        <w:tc>
          <w:tcPr>
            <w:tcW w:w="5981" w:type="dxa"/>
            <w:tcBorders>
              <w:top w:val="single" w:sz="4" w:space="0" w:color="auto"/>
              <w:left w:val="nil"/>
              <w:bottom w:val="single" w:sz="4" w:space="0" w:color="auto"/>
              <w:right w:val="nil"/>
            </w:tcBorders>
            <w:shd w:val="clear" w:color="auto" w:fill="auto"/>
            <w:noWrap/>
            <w:vAlign w:val="bottom"/>
            <w:hideMark/>
          </w:tcPr>
          <w:p w14:paraId="24FD0E8C" w14:textId="31EFFBD0" w:rsidR="00F74D89" w:rsidRPr="009C6D5F" w:rsidRDefault="00F74D89" w:rsidP="00F74D89">
            <w:pPr>
              <w:spacing w:after="0" w:line="240" w:lineRule="auto"/>
              <w:rPr>
                <w:rFonts w:ascii="Arial" w:eastAsia="Times New Roman" w:hAnsi="Arial" w:cs="Arial"/>
                <w:b/>
                <w:bCs/>
                <w:sz w:val="20"/>
                <w:szCs w:val="20"/>
              </w:rPr>
            </w:pPr>
            <w:r w:rsidRPr="009C6D5F">
              <w:rPr>
                <w:rFonts w:ascii="Arial" w:eastAsia="Times New Roman" w:hAnsi="Arial" w:cs="Arial"/>
                <w:b/>
                <w:bCs/>
                <w:sz w:val="20"/>
                <w:szCs w:val="20"/>
              </w:rPr>
              <w:t>Trieda expozície</w:t>
            </w:r>
          </w:p>
        </w:tc>
        <w:tc>
          <w:tcPr>
            <w:tcW w:w="1443" w:type="dxa"/>
            <w:tcBorders>
              <w:top w:val="single" w:sz="4" w:space="0" w:color="auto"/>
              <w:left w:val="nil"/>
              <w:bottom w:val="single" w:sz="4" w:space="0" w:color="auto"/>
              <w:right w:val="nil"/>
            </w:tcBorders>
            <w:shd w:val="clear" w:color="auto" w:fill="auto"/>
            <w:vAlign w:val="bottom"/>
            <w:hideMark/>
          </w:tcPr>
          <w:p w14:paraId="1B23CBFB" w14:textId="26AD8675"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Výška expozície</w:t>
            </w:r>
          </w:p>
        </w:tc>
        <w:tc>
          <w:tcPr>
            <w:tcW w:w="1871" w:type="dxa"/>
            <w:tcBorders>
              <w:top w:val="single" w:sz="4" w:space="0" w:color="auto"/>
              <w:left w:val="nil"/>
              <w:bottom w:val="single" w:sz="4" w:space="0" w:color="auto"/>
              <w:right w:val="nil"/>
            </w:tcBorders>
            <w:shd w:val="clear" w:color="auto" w:fill="auto"/>
            <w:vAlign w:val="bottom"/>
            <w:hideMark/>
          </w:tcPr>
          <w:p w14:paraId="47551BB9" w14:textId="6A26E54C"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Priemerná výška expozície</w:t>
            </w:r>
          </w:p>
        </w:tc>
      </w:tr>
      <w:tr w:rsidR="004965F6" w:rsidRPr="009C6D5F" w14:paraId="74CC8444" w14:textId="77777777" w:rsidTr="00250FCC">
        <w:trPr>
          <w:trHeight w:val="267"/>
        </w:trPr>
        <w:tc>
          <w:tcPr>
            <w:tcW w:w="5981" w:type="dxa"/>
            <w:tcBorders>
              <w:top w:val="nil"/>
              <w:left w:val="nil"/>
              <w:bottom w:val="nil"/>
              <w:right w:val="nil"/>
            </w:tcBorders>
            <w:shd w:val="clear" w:color="auto" w:fill="auto"/>
            <w:noWrap/>
            <w:vAlign w:val="center"/>
            <w:hideMark/>
          </w:tcPr>
          <w:p w14:paraId="7A8D35F5" w14:textId="7866AE7F"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Ústredné vlády  alebo centrálne banky</w:t>
            </w:r>
          </w:p>
        </w:tc>
        <w:tc>
          <w:tcPr>
            <w:tcW w:w="1443" w:type="dxa"/>
            <w:tcBorders>
              <w:top w:val="nil"/>
              <w:left w:val="nil"/>
              <w:bottom w:val="nil"/>
              <w:right w:val="nil"/>
            </w:tcBorders>
            <w:shd w:val="clear" w:color="auto" w:fill="auto"/>
            <w:noWrap/>
            <w:hideMark/>
          </w:tcPr>
          <w:p w14:paraId="165C028D" w14:textId="6D8A667B" w:rsidR="004965F6" w:rsidRPr="009C6D5F" w:rsidRDefault="004965F6" w:rsidP="004965F6">
            <w:pPr>
              <w:spacing w:after="0"/>
              <w:jc w:val="right"/>
            </w:pPr>
            <w:r w:rsidRPr="00677983">
              <w:t>186 327</w:t>
            </w:r>
          </w:p>
        </w:tc>
        <w:tc>
          <w:tcPr>
            <w:tcW w:w="1871" w:type="dxa"/>
            <w:tcBorders>
              <w:top w:val="nil"/>
              <w:left w:val="nil"/>
              <w:bottom w:val="nil"/>
              <w:right w:val="nil"/>
            </w:tcBorders>
            <w:shd w:val="clear" w:color="auto" w:fill="auto"/>
            <w:noWrap/>
            <w:hideMark/>
          </w:tcPr>
          <w:p w14:paraId="62DA8927" w14:textId="290C0841" w:rsidR="004965F6" w:rsidRPr="009C6D5F" w:rsidRDefault="004965F6" w:rsidP="004965F6">
            <w:pPr>
              <w:spacing w:after="0"/>
              <w:jc w:val="right"/>
            </w:pPr>
            <w:r w:rsidRPr="00B91F85">
              <w:t>198 227</w:t>
            </w:r>
          </w:p>
        </w:tc>
      </w:tr>
      <w:tr w:rsidR="004965F6" w:rsidRPr="009C6D5F" w14:paraId="53DE9788" w14:textId="77777777" w:rsidTr="00250FCC">
        <w:trPr>
          <w:trHeight w:val="267"/>
        </w:trPr>
        <w:tc>
          <w:tcPr>
            <w:tcW w:w="5981" w:type="dxa"/>
            <w:tcBorders>
              <w:top w:val="nil"/>
              <w:left w:val="nil"/>
              <w:bottom w:val="nil"/>
              <w:right w:val="nil"/>
            </w:tcBorders>
            <w:shd w:val="clear" w:color="auto" w:fill="auto"/>
            <w:noWrap/>
            <w:vAlign w:val="center"/>
            <w:hideMark/>
          </w:tcPr>
          <w:p w14:paraId="64FB2281" w14:textId="699DFEC0"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Regionálne vlády alebo miestne orgány</w:t>
            </w:r>
          </w:p>
        </w:tc>
        <w:tc>
          <w:tcPr>
            <w:tcW w:w="1443" w:type="dxa"/>
            <w:tcBorders>
              <w:top w:val="nil"/>
              <w:left w:val="nil"/>
              <w:bottom w:val="nil"/>
              <w:right w:val="nil"/>
            </w:tcBorders>
            <w:shd w:val="clear" w:color="auto" w:fill="auto"/>
            <w:noWrap/>
            <w:hideMark/>
          </w:tcPr>
          <w:p w14:paraId="1167AE2B" w14:textId="53215D0E" w:rsidR="004965F6" w:rsidRPr="009C6D5F" w:rsidRDefault="004965F6" w:rsidP="004965F6">
            <w:pPr>
              <w:spacing w:after="0"/>
              <w:jc w:val="right"/>
            </w:pPr>
            <w:r w:rsidRPr="00677983">
              <w:t>20 219</w:t>
            </w:r>
          </w:p>
        </w:tc>
        <w:tc>
          <w:tcPr>
            <w:tcW w:w="1871" w:type="dxa"/>
            <w:tcBorders>
              <w:top w:val="nil"/>
              <w:left w:val="nil"/>
              <w:bottom w:val="nil"/>
              <w:right w:val="nil"/>
            </w:tcBorders>
            <w:shd w:val="clear" w:color="auto" w:fill="auto"/>
            <w:noWrap/>
            <w:hideMark/>
          </w:tcPr>
          <w:p w14:paraId="51917266" w14:textId="5DF83AC3" w:rsidR="004965F6" w:rsidRPr="009C6D5F" w:rsidRDefault="004965F6" w:rsidP="004965F6">
            <w:pPr>
              <w:spacing w:after="0"/>
              <w:jc w:val="right"/>
            </w:pPr>
            <w:r w:rsidRPr="00B91F85">
              <w:t>20 673</w:t>
            </w:r>
          </w:p>
        </w:tc>
      </w:tr>
      <w:tr w:rsidR="004965F6" w:rsidRPr="009C6D5F" w14:paraId="580CEF0D" w14:textId="77777777" w:rsidTr="00250FCC">
        <w:trPr>
          <w:trHeight w:val="267"/>
        </w:trPr>
        <w:tc>
          <w:tcPr>
            <w:tcW w:w="5981" w:type="dxa"/>
            <w:tcBorders>
              <w:top w:val="nil"/>
              <w:left w:val="nil"/>
              <w:bottom w:val="nil"/>
              <w:right w:val="nil"/>
            </w:tcBorders>
            <w:shd w:val="clear" w:color="auto" w:fill="auto"/>
            <w:noWrap/>
            <w:vAlign w:val="center"/>
            <w:hideMark/>
          </w:tcPr>
          <w:p w14:paraId="1D682C80" w14:textId="40252CF3"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Subjekty verejného sektora</w:t>
            </w:r>
          </w:p>
        </w:tc>
        <w:tc>
          <w:tcPr>
            <w:tcW w:w="1443" w:type="dxa"/>
            <w:tcBorders>
              <w:top w:val="nil"/>
              <w:left w:val="nil"/>
              <w:bottom w:val="nil"/>
              <w:right w:val="nil"/>
            </w:tcBorders>
            <w:shd w:val="clear" w:color="auto" w:fill="auto"/>
            <w:noWrap/>
            <w:hideMark/>
          </w:tcPr>
          <w:p w14:paraId="407FFA26" w14:textId="10F7A2CF" w:rsidR="004965F6" w:rsidRPr="009C6D5F" w:rsidRDefault="004965F6" w:rsidP="004965F6">
            <w:pPr>
              <w:spacing w:after="0"/>
              <w:jc w:val="right"/>
            </w:pPr>
            <w:r w:rsidRPr="00677983">
              <w:t>2 459</w:t>
            </w:r>
          </w:p>
        </w:tc>
        <w:tc>
          <w:tcPr>
            <w:tcW w:w="1871" w:type="dxa"/>
            <w:tcBorders>
              <w:top w:val="nil"/>
              <w:left w:val="nil"/>
              <w:bottom w:val="nil"/>
              <w:right w:val="nil"/>
            </w:tcBorders>
            <w:shd w:val="clear" w:color="auto" w:fill="auto"/>
            <w:noWrap/>
            <w:hideMark/>
          </w:tcPr>
          <w:p w14:paraId="08AC60DF" w14:textId="0DB84080" w:rsidR="004965F6" w:rsidRPr="009C6D5F" w:rsidRDefault="004965F6" w:rsidP="004965F6">
            <w:pPr>
              <w:spacing w:after="0"/>
              <w:jc w:val="right"/>
            </w:pPr>
            <w:r w:rsidRPr="00B91F85">
              <w:t>2 523</w:t>
            </w:r>
          </w:p>
        </w:tc>
      </w:tr>
      <w:tr w:rsidR="004965F6" w:rsidRPr="009C6D5F" w14:paraId="2E0726BD" w14:textId="77777777" w:rsidTr="00250FCC">
        <w:trPr>
          <w:trHeight w:val="267"/>
        </w:trPr>
        <w:tc>
          <w:tcPr>
            <w:tcW w:w="5981" w:type="dxa"/>
            <w:tcBorders>
              <w:top w:val="nil"/>
              <w:left w:val="nil"/>
              <w:bottom w:val="nil"/>
              <w:right w:val="nil"/>
            </w:tcBorders>
            <w:shd w:val="clear" w:color="auto" w:fill="auto"/>
            <w:noWrap/>
            <w:vAlign w:val="center"/>
            <w:hideMark/>
          </w:tcPr>
          <w:p w14:paraId="033BADBA" w14:textId="3708C4CE"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Multilaterálne rozvojové banky</w:t>
            </w:r>
          </w:p>
        </w:tc>
        <w:tc>
          <w:tcPr>
            <w:tcW w:w="1443" w:type="dxa"/>
            <w:tcBorders>
              <w:top w:val="nil"/>
              <w:left w:val="nil"/>
              <w:bottom w:val="nil"/>
              <w:right w:val="nil"/>
            </w:tcBorders>
            <w:shd w:val="clear" w:color="auto" w:fill="auto"/>
            <w:noWrap/>
            <w:hideMark/>
          </w:tcPr>
          <w:p w14:paraId="2384708B" w14:textId="5E4324AF" w:rsidR="004965F6" w:rsidRPr="009C6D5F" w:rsidRDefault="004965F6" w:rsidP="004965F6">
            <w:pPr>
              <w:spacing w:after="0"/>
              <w:jc w:val="right"/>
            </w:pPr>
            <w:r w:rsidRPr="00677983">
              <w:t>326</w:t>
            </w:r>
          </w:p>
        </w:tc>
        <w:tc>
          <w:tcPr>
            <w:tcW w:w="1871" w:type="dxa"/>
            <w:tcBorders>
              <w:top w:val="nil"/>
              <w:left w:val="nil"/>
              <w:bottom w:val="nil"/>
              <w:right w:val="nil"/>
            </w:tcBorders>
            <w:shd w:val="clear" w:color="auto" w:fill="auto"/>
            <w:noWrap/>
            <w:hideMark/>
          </w:tcPr>
          <w:p w14:paraId="2ADE5247" w14:textId="3EF77B68" w:rsidR="004965F6" w:rsidRPr="009C6D5F" w:rsidRDefault="004965F6" w:rsidP="004965F6">
            <w:pPr>
              <w:spacing w:after="0"/>
              <w:jc w:val="right"/>
            </w:pPr>
            <w:r w:rsidRPr="00B91F85">
              <w:t>465</w:t>
            </w:r>
          </w:p>
        </w:tc>
      </w:tr>
      <w:tr w:rsidR="004965F6" w:rsidRPr="009C6D5F" w14:paraId="3986A4F8" w14:textId="77777777" w:rsidTr="00250FCC">
        <w:trPr>
          <w:trHeight w:val="267"/>
        </w:trPr>
        <w:tc>
          <w:tcPr>
            <w:tcW w:w="5981" w:type="dxa"/>
            <w:tcBorders>
              <w:top w:val="nil"/>
              <w:left w:val="nil"/>
              <w:bottom w:val="nil"/>
              <w:right w:val="nil"/>
            </w:tcBorders>
            <w:shd w:val="clear" w:color="auto" w:fill="auto"/>
            <w:noWrap/>
            <w:vAlign w:val="center"/>
            <w:hideMark/>
          </w:tcPr>
          <w:p w14:paraId="6365FC4C" w14:textId="1413658A"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Inštitúcie</w:t>
            </w:r>
          </w:p>
        </w:tc>
        <w:tc>
          <w:tcPr>
            <w:tcW w:w="1443" w:type="dxa"/>
            <w:tcBorders>
              <w:top w:val="nil"/>
              <w:left w:val="nil"/>
              <w:bottom w:val="nil"/>
              <w:right w:val="nil"/>
            </w:tcBorders>
            <w:shd w:val="clear" w:color="auto" w:fill="auto"/>
            <w:noWrap/>
            <w:hideMark/>
          </w:tcPr>
          <w:p w14:paraId="5A8CCF11" w14:textId="510DD7FD" w:rsidR="004965F6" w:rsidRPr="009C6D5F" w:rsidRDefault="004965F6" w:rsidP="004965F6">
            <w:pPr>
              <w:spacing w:after="0"/>
              <w:jc w:val="right"/>
            </w:pPr>
            <w:r w:rsidRPr="00677983">
              <w:t>42 484</w:t>
            </w:r>
          </w:p>
        </w:tc>
        <w:tc>
          <w:tcPr>
            <w:tcW w:w="1871" w:type="dxa"/>
            <w:tcBorders>
              <w:top w:val="nil"/>
              <w:left w:val="nil"/>
              <w:bottom w:val="nil"/>
              <w:right w:val="nil"/>
            </w:tcBorders>
            <w:shd w:val="clear" w:color="auto" w:fill="auto"/>
            <w:noWrap/>
            <w:hideMark/>
          </w:tcPr>
          <w:p w14:paraId="66F0A8BF" w14:textId="15D2A54D" w:rsidR="004965F6" w:rsidRPr="009C6D5F" w:rsidRDefault="004965F6" w:rsidP="004965F6">
            <w:pPr>
              <w:spacing w:after="0"/>
              <w:jc w:val="right"/>
            </w:pPr>
            <w:r w:rsidRPr="00B91F85">
              <w:t>32 958</w:t>
            </w:r>
          </w:p>
        </w:tc>
      </w:tr>
      <w:tr w:rsidR="004965F6" w:rsidRPr="009C6D5F" w14:paraId="43192FCD" w14:textId="77777777" w:rsidTr="00250FCC">
        <w:trPr>
          <w:trHeight w:val="267"/>
        </w:trPr>
        <w:tc>
          <w:tcPr>
            <w:tcW w:w="5981" w:type="dxa"/>
            <w:tcBorders>
              <w:top w:val="nil"/>
              <w:left w:val="nil"/>
              <w:bottom w:val="nil"/>
              <w:right w:val="nil"/>
            </w:tcBorders>
            <w:shd w:val="clear" w:color="auto" w:fill="auto"/>
            <w:noWrap/>
            <w:vAlign w:val="center"/>
            <w:hideMark/>
          </w:tcPr>
          <w:p w14:paraId="7D73820D" w14:textId="1DFEB130"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Podnikateľské subjekty</w:t>
            </w:r>
          </w:p>
        </w:tc>
        <w:tc>
          <w:tcPr>
            <w:tcW w:w="1443" w:type="dxa"/>
            <w:tcBorders>
              <w:top w:val="nil"/>
              <w:left w:val="nil"/>
              <w:bottom w:val="nil"/>
              <w:right w:val="nil"/>
            </w:tcBorders>
            <w:shd w:val="clear" w:color="auto" w:fill="auto"/>
            <w:noWrap/>
            <w:hideMark/>
          </w:tcPr>
          <w:p w14:paraId="53512342" w14:textId="7CC6CD41" w:rsidR="004965F6" w:rsidRPr="009C6D5F" w:rsidRDefault="004965F6" w:rsidP="004965F6">
            <w:pPr>
              <w:spacing w:after="0"/>
              <w:jc w:val="right"/>
            </w:pPr>
            <w:r w:rsidRPr="00677983">
              <w:t>236 812</w:t>
            </w:r>
          </w:p>
        </w:tc>
        <w:tc>
          <w:tcPr>
            <w:tcW w:w="1871" w:type="dxa"/>
            <w:tcBorders>
              <w:top w:val="nil"/>
              <w:left w:val="nil"/>
              <w:bottom w:val="nil"/>
              <w:right w:val="nil"/>
            </w:tcBorders>
            <w:shd w:val="clear" w:color="auto" w:fill="auto"/>
            <w:noWrap/>
            <w:hideMark/>
          </w:tcPr>
          <w:p w14:paraId="6AC2829A" w14:textId="4FE66427" w:rsidR="004965F6" w:rsidRPr="009C6D5F" w:rsidRDefault="004965F6" w:rsidP="004965F6">
            <w:pPr>
              <w:spacing w:after="0"/>
              <w:jc w:val="right"/>
            </w:pPr>
            <w:r w:rsidRPr="00B91F85">
              <w:t>245 446</w:t>
            </w:r>
          </w:p>
        </w:tc>
      </w:tr>
      <w:tr w:rsidR="004965F6" w:rsidRPr="009C6D5F" w14:paraId="01B9AD48" w14:textId="77777777" w:rsidTr="00250FCC">
        <w:trPr>
          <w:trHeight w:val="267"/>
        </w:trPr>
        <w:tc>
          <w:tcPr>
            <w:tcW w:w="5981" w:type="dxa"/>
            <w:tcBorders>
              <w:top w:val="nil"/>
              <w:left w:val="nil"/>
              <w:bottom w:val="nil"/>
              <w:right w:val="nil"/>
            </w:tcBorders>
            <w:shd w:val="clear" w:color="auto" w:fill="auto"/>
            <w:noWrap/>
            <w:vAlign w:val="center"/>
            <w:hideMark/>
          </w:tcPr>
          <w:p w14:paraId="384BADDB" w14:textId="2ADEF049" w:rsidR="004965F6" w:rsidRPr="009C6D5F" w:rsidRDefault="004965F6" w:rsidP="004965F6">
            <w:pPr>
              <w:spacing w:after="0" w:line="240" w:lineRule="auto"/>
              <w:rPr>
                <w:rFonts w:ascii="Arial" w:eastAsia="Times New Roman" w:hAnsi="Arial" w:cs="Arial"/>
                <w:sz w:val="20"/>
                <w:szCs w:val="20"/>
              </w:rPr>
            </w:pPr>
            <w:proofErr w:type="spellStart"/>
            <w:r w:rsidRPr="009C6D5F">
              <w:rPr>
                <w:rFonts w:ascii="Arial" w:eastAsia="Times New Roman" w:hAnsi="Arial" w:cs="Arial"/>
                <w:sz w:val="20"/>
                <w:szCs w:val="20"/>
              </w:rPr>
              <w:t>Retailové</w:t>
            </w:r>
            <w:proofErr w:type="spellEnd"/>
            <w:r w:rsidRPr="009C6D5F">
              <w:rPr>
                <w:rFonts w:ascii="Arial" w:eastAsia="Times New Roman" w:hAnsi="Arial" w:cs="Arial"/>
                <w:sz w:val="20"/>
                <w:szCs w:val="20"/>
              </w:rPr>
              <w:t xml:space="preserve"> expozície</w:t>
            </w:r>
          </w:p>
        </w:tc>
        <w:tc>
          <w:tcPr>
            <w:tcW w:w="1443" w:type="dxa"/>
            <w:tcBorders>
              <w:top w:val="nil"/>
              <w:left w:val="nil"/>
              <w:bottom w:val="nil"/>
              <w:right w:val="nil"/>
            </w:tcBorders>
            <w:shd w:val="clear" w:color="auto" w:fill="auto"/>
            <w:noWrap/>
            <w:hideMark/>
          </w:tcPr>
          <w:p w14:paraId="4A5970FE" w14:textId="1191BED0" w:rsidR="004965F6" w:rsidRPr="009C6D5F" w:rsidRDefault="004965F6" w:rsidP="004965F6">
            <w:pPr>
              <w:spacing w:after="0"/>
              <w:jc w:val="right"/>
            </w:pPr>
            <w:r w:rsidRPr="00677983">
              <w:t>253 089</w:t>
            </w:r>
          </w:p>
        </w:tc>
        <w:tc>
          <w:tcPr>
            <w:tcW w:w="1871" w:type="dxa"/>
            <w:tcBorders>
              <w:top w:val="nil"/>
              <w:left w:val="nil"/>
              <w:bottom w:val="nil"/>
              <w:right w:val="nil"/>
            </w:tcBorders>
            <w:shd w:val="clear" w:color="auto" w:fill="auto"/>
            <w:noWrap/>
            <w:hideMark/>
          </w:tcPr>
          <w:p w14:paraId="64509038" w14:textId="26F0CCEB" w:rsidR="004965F6" w:rsidRPr="009C6D5F" w:rsidRDefault="004965F6" w:rsidP="004965F6">
            <w:pPr>
              <w:spacing w:after="0"/>
              <w:jc w:val="right"/>
            </w:pPr>
            <w:r w:rsidRPr="00B91F85">
              <w:t>261 281</w:t>
            </w:r>
          </w:p>
        </w:tc>
      </w:tr>
      <w:tr w:rsidR="004965F6" w:rsidRPr="009C6D5F" w14:paraId="3895E6A6" w14:textId="77777777" w:rsidTr="00250FCC">
        <w:trPr>
          <w:trHeight w:val="267"/>
        </w:trPr>
        <w:tc>
          <w:tcPr>
            <w:tcW w:w="5981" w:type="dxa"/>
            <w:tcBorders>
              <w:top w:val="nil"/>
              <w:left w:val="nil"/>
              <w:bottom w:val="nil"/>
              <w:right w:val="nil"/>
            </w:tcBorders>
            <w:shd w:val="clear" w:color="auto" w:fill="auto"/>
            <w:noWrap/>
            <w:vAlign w:val="center"/>
            <w:hideMark/>
          </w:tcPr>
          <w:p w14:paraId="4B395D13" w14:textId="5217A46B"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zabezpečené hypotékami na nehnuteľný majetok</w:t>
            </w:r>
          </w:p>
        </w:tc>
        <w:tc>
          <w:tcPr>
            <w:tcW w:w="1443" w:type="dxa"/>
            <w:tcBorders>
              <w:top w:val="nil"/>
              <w:left w:val="nil"/>
              <w:bottom w:val="nil"/>
              <w:right w:val="nil"/>
            </w:tcBorders>
            <w:shd w:val="clear" w:color="auto" w:fill="auto"/>
            <w:noWrap/>
            <w:hideMark/>
          </w:tcPr>
          <w:p w14:paraId="72B48B67" w14:textId="14E7AA25" w:rsidR="004965F6" w:rsidRPr="009C6D5F" w:rsidRDefault="004965F6" w:rsidP="004965F6">
            <w:pPr>
              <w:spacing w:after="0"/>
              <w:jc w:val="right"/>
            </w:pPr>
            <w:r w:rsidRPr="00677983">
              <w:t>657 648</w:t>
            </w:r>
          </w:p>
        </w:tc>
        <w:tc>
          <w:tcPr>
            <w:tcW w:w="1871" w:type="dxa"/>
            <w:tcBorders>
              <w:top w:val="nil"/>
              <w:left w:val="nil"/>
              <w:bottom w:val="nil"/>
              <w:right w:val="nil"/>
            </w:tcBorders>
            <w:shd w:val="clear" w:color="auto" w:fill="auto"/>
            <w:noWrap/>
            <w:hideMark/>
          </w:tcPr>
          <w:p w14:paraId="1354D5AC" w14:textId="2864A8D4" w:rsidR="004965F6" w:rsidRPr="009C6D5F" w:rsidRDefault="004965F6" w:rsidP="004965F6">
            <w:pPr>
              <w:spacing w:after="0"/>
              <w:jc w:val="right"/>
            </w:pPr>
            <w:r w:rsidRPr="00B91F85">
              <w:t>647 837</w:t>
            </w:r>
          </w:p>
        </w:tc>
      </w:tr>
      <w:tr w:rsidR="004965F6" w:rsidRPr="009C6D5F" w14:paraId="1188491A" w14:textId="77777777" w:rsidTr="00250FCC">
        <w:trPr>
          <w:trHeight w:val="267"/>
        </w:trPr>
        <w:tc>
          <w:tcPr>
            <w:tcW w:w="5981" w:type="dxa"/>
            <w:tcBorders>
              <w:top w:val="nil"/>
              <w:left w:val="nil"/>
              <w:bottom w:val="nil"/>
              <w:right w:val="nil"/>
            </w:tcBorders>
            <w:shd w:val="clear" w:color="auto" w:fill="auto"/>
            <w:noWrap/>
            <w:vAlign w:val="center"/>
            <w:hideMark/>
          </w:tcPr>
          <w:p w14:paraId="69BE4CDD" w14:textId="2F5CF502"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v stave zlyhania</w:t>
            </w:r>
          </w:p>
        </w:tc>
        <w:tc>
          <w:tcPr>
            <w:tcW w:w="1443" w:type="dxa"/>
            <w:tcBorders>
              <w:top w:val="nil"/>
              <w:left w:val="nil"/>
              <w:bottom w:val="nil"/>
              <w:right w:val="nil"/>
            </w:tcBorders>
            <w:shd w:val="clear" w:color="auto" w:fill="auto"/>
            <w:noWrap/>
            <w:hideMark/>
          </w:tcPr>
          <w:p w14:paraId="44979CF7" w14:textId="17471101" w:rsidR="004965F6" w:rsidRPr="009C6D5F" w:rsidRDefault="004965F6" w:rsidP="004965F6">
            <w:pPr>
              <w:spacing w:after="0"/>
              <w:jc w:val="right"/>
            </w:pPr>
            <w:r w:rsidRPr="00677983">
              <w:t>16 861</w:t>
            </w:r>
          </w:p>
        </w:tc>
        <w:tc>
          <w:tcPr>
            <w:tcW w:w="1871" w:type="dxa"/>
            <w:tcBorders>
              <w:top w:val="nil"/>
              <w:left w:val="nil"/>
              <w:bottom w:val="nil"/>
              <w:right w:val="nil"/>
            </w:tcBorders>
            <w:shd w:val="clear" w:color="auto" w:fill="auto"/>
            <w:noWrap/>
            <w:hideMark/>
          </w:tcPr>
          <w:p w14:paraId="076D920A" w14:textId="78E6F13A" w:rsidR="004965F6" w:rsidRPr="009C6D5F" w:rsidRDefault="004965F6" w:rsidP="004965F6">
            <w:pPr>
              <w:spacing w:after="0"/>
              <w:jc w:val="right"/>
            </w:pPr>
            <w:r w:rsidRPr="00B91F85">
              <w:t>17 514</w:t>
            </w:r>
          </w:p>
        </w:tc>
      </w:tr>
      <w:tr w:rsidR="004965F6" w:rsidRPr="009C6D5F" w14:paraId="372B1199" w14:textId="77777777" w:rsidTr="00250FCC">
        <w:trPr>
          <w:trHeight w:val="267"/>
        </w:trPr>
        <w:tc>
          <w:tcPr>
            <w:tcW w:w="5981" w:type="dxa"/>
            <w:tcBorders>
              <w:top w:val="nil"/>
              <w:left w:val="nil"/>
              <w:bottom w:val="nil"/>
              <w:right w:val="nil"/>
            </w:tcBorders>
            <w:shd w:val="clear" w:color="auto" w:fill="auto"/>
            <w:noWrap/>
            <w:vAlign w:val="center"/>
            <w:hideMark/>
          </w:tcPr>
          <w:p w14:paraId="34691827" w14:textId="66070D52"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s ktorými súvisí osobitne vysoké riziko</w:t>
            </w:r>
          </w:p>
        </w:tc>
        <w:tc>
          <w:tcPr>
            <w:tcW w:w="1443" w:type="dxa"/>
            <w:tcBorders>
              <w:top w:val="nil"/>
              <w:left w:val="nil"/>
              <w:bottom w:val="nil"/>
              <w:right w:val="nil"/>
            </w:tcBorders>
            <w:shd w:val="clear" w:color="auto" w:fill="auto"/>
            <w:noWrap/>
            <w:hideMark/>
          </w:tcPr>
          <w:p w14:paraId="3ED0625D" w14:textId="4F9505AC" w:rsidR="004965F6" w:rsidRPr="009C6D5F" w:rsidRDefault="004965F6" w:rsidP="004965F6">
            <w:pPr>
              <w:spacing w:after="0"/>
              <w:jc w:val="right"/>
            </w:pPr>
            <w:r w:rsidRPr="00677983">
              <w:t>1 552</w:t>
            </w:r>
          </w:p>
        </w:tc>
        <w:tc>
          <w:tcPr>
            <w:tcW w:w="1871" w:type="dxa"/>
            <w:tcBorders>
              <w:top w:val="nil"/>
              <w:left w:val="nil"/>
              <w:bottom w:val="nil"/>
              <w:right w:val="nil"/>
            </w:tcBorders>
            <w:shd w:val="clear" w:color="auto" w:fill="auto"/>
            <w:noWrap/>
            <w:hideMark/>
          </w:tcPr>
          <w:p w14:paraId="5B5A6D97" w14:textId="666D95F3" w:rsidR="004965F6" w:rsidRPr="009C6D5F" w:rsidRDefault="004965F6" w:rsidP="004965F6">
            <w:pPr>
              <w:spacing w:after="0"/>
              <w:jc w:val="right"/>
            </w:pPr>
            <w:r w:rsidRPr="00B91F85">
              <w:t>1 550</w:t>
            </w:r>
          </w:p>
        </w:tc>
      </w:tr>
      <w:tr w:rsidR="004965F6" w:rsidRPr="009C6D5F" w14:paraId="451472B0" w14:textId="77777777" w:rsidTr="00250FCC">
        <w:trPr>
          <w:trHeight w:val="267"/>
        </w:trPr>
        <w:tc>
          <w:tcPr>
            <w:tcW w:w="5981" w:type="dxa"/>
            <w:tcBorders>
              <w:top w:val="nil"/>
              <w:left w:val="nil"/>
              <w:bottom w:val="nil"/>
              <w:right w:val="nil"/>
            </w:tcBorders>
            <w:shd w:val="clear" w:color="auto" w:fill="auto"/>
            <w:vAlign w:val="center"/>
            <w:hideMark/>
          </w:tcPr>
          <w:p w14:paraId="0A4EE8F6" w14:textId="643D70E3"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Kapitálové expozície</w:t>
            </w:r>
          </w:p>
        </w:tc>
        <w:tc>
          <w:tcPr>
            <w:tcW w:w="1443" w:type="dxa"/>
            <w:tcBorders>
              <w:top w:val="nil"/>
              <w:left w:val="nil"/>
              <w:bottom w:val="nil"/>
              <w:right w:val="nil"/>
            </w:tcBorders>
            <w:shd w:val="clear" w:color="auto" w:fill="auto"/>
            <w:noWrap/>
            <w:hideMark/>
          </w:tcPr>
          <w:p w14:paraId="104BD8B2" w14:textId="46572D19" w:rsidR="004965F6" w:rsidRPr="009C6D5F" w:rsidRDefault="004965F6" w:rsidP="004965F6">
            <w:pPr>
              <w:spacing w:after="0"/>
              <w:jc w:val="right"/>
            </w:pPr>
            <w:r w:rsidRPr="00677983">
              <w:t>1 133</w:t>
            </w:r>
          </w:p>
        </w:tc>
        <w:tc>
          <w:tcPr>
            <w:tcW w:w="1871" w:type="dxa"/>
            <w:tcBorders>
              <w:top w:val="nil"/>
              <w:left w:val="nil"/>
              <w:bottom w:val="nil"/>
              <w:right w:val="nil"/>
            </w:tcBorders>
            <w:shd w:val="clear" w:color="auto" w:fill="auto"/>
            <w:noWrap/>
            <w:hideMark/>
          </w:tcPr>
          <w:p w14:paraId="48C4E866" w14:textId="4EC8ABA4" w:rsidR="004965F6" w:rsidRPr="009C6D5F" w:rsidRDefault="004965F6" w:rsidP="004965F6">
            <w:pPr>
              <w:spacing w:after="0"/>
              <w:jc w:val="right"/>
            </w:pPr>
            <w:r w:rsidRPr="00B91F85">
              <w:t>1 803</w:t>
            </w:r>
          </w:p>
        </w:tc>
      </w:tr>
      <w:tr w:rsidR="004965F6" w:rsidRPr="00B13FC6" w14:paraId="35793508" w14:textId="77777777" w:rsidTr="00250FCC">
        <w:trPr>
          <w:trHeight w:val="267"/>
        </w:trPr>
        <w:tc>
          <w:tcPr>
            <w:tcW w:w="5981" w:type="dxa"/>
            <w:tcBorders>
              <w:top w:val="nil"/>
              <w:left w:val="nil"/>
              <w:bottom w:val="single" w:sz="4" w:space="0" w:color="auto"/>
              <w:right w:val="nil"/>
            </w:tcBorders>
            <w:shd w:val="clear" w:color="auto" w:fill="auto"/>
            <w:noWrap/>
            <w:vAlign w:val="center"/>
            <w:hideMark/>
          </w:tcPr>
          <w:p w14:paraId="3C80976A" w14:textId="77A25D37" w:rsidR="004965F6" w:rsidRPr="009C6D5F" w:rsidRDefault="004965F6" w:rsidP="004965F6">
            <w:pPr>
              <w:spacing w:after="0" w:line="240" w:lineRule="auto"/>
              <w:rPr>
                <w:rFonts w:ascii="Arial" w:eastAsia="Times New Roman" w:hAnsi="Arial" w:cs="Arial"/>
                <w:sz w:val="20"/>
                <w:szCs w:val="20"/>
              </w:rPr>
            </w:pPr>
            <w:r w:rsidRPr="009C6D5F">
              <w:rPr>
                <w:rFonts w:ascii="Arial" w:eastAsia="Times New Roman" w:hAnsi="Arial" w:cs="Arial"/>
                <w:sz w:val="20"/>
                <w:szCs w:val="20"/>
              </w:rPr>
              <w:t xml:space="preserve">Iné položky </w:t>
            </w:r>
          </w:p>
        </w:tc>
        <w:tc>
          <w:tcPr>
            <w:tcW w:w="1443" w:type="dxa"/>
            <w:tcBorders>
              <w:top w:val="nil"/>
              <w:left w:val="nil"/>
              <w:bottom w:val="single" w:sz="4" w:space="0" w:color="auto"/>
              <w:right w:val="nil"/>
            </w:tcBorders>
            <w:shd w:val="clear" w:color="auto" w:fill="auto"/>
            <w:noWrap/>
            <w:hideMark/>
          </w:tcPr>
          <w:p w14:paraId="2C3D904E" w14:textId="4B20F8DC" w:rsidR="004965F6" w:rsidRPr="009C6D5F" w:rsidRDefault="004965F6" w:rsidP="004965F6">
            <w:pPr>
              <w:spacing w:after="0"/>
              <w:jc w:val="right"/>
            </w:pPr>
            <w:r w:rsidRPr="00677983">
              <w:t>64 483</w:t>
            </w:r>
          </w:p>
        </w:tc>
        <w:tc>
          <w:tcPr>
            <w:tcW w:w="1871" w:type="dxa"/>
            <w:tcBorders>
              <w:top w:val="nil"/>
              <w:left w:val="nil"/>
              <w:bottom w:val="single" w:sz="4" w:space="0" w:color="auto"/>
              <w:right w:val="nil"/>
            </w:tcBorders>
            <w:shd w:val="clear" w:color="auto" w:fill="auto"/>
            <w:noWrap/>
            <w:hideMark/>
          </w:tcPr>
          <w:p w14:paraId="50D5CF29" w14:textId="1DCD49BE" w:rsidR="004965F6" w:rsidRPr="00B13FC6" w:rsidRDefault="004965F6" w:rsidP="004965F6">
            <w:pPr>
              <w:spacing w:after="0"/>
              <w:jc w:val="right"/>
            </w:pPr>
            <w:r w:rsidRPr="00B91F85">
              <w:t>65 991</w:t>
            </w:r>
          </w:p>
        </w:tc>
      </w:tr>
    </w:tbl>
    <w:p w14:paraId="2C7210BB" w14:textId="3D3DDA9D" w:rsidR="00EE4C3F" w:rsidRPr="00B13FC6" w:rsidRDefault="00EE4C3F" w:rsidP="005A1CA1">
      <w:pPr>
        <w:pStyle w:val="ListParagraph"/>
        <w:rPr>
          <w:rFonts w:ascii="Arial" w:hAnsi="Arial" w:cs="Arial"/>
          <w:b/>
          <w:color w:val="2E74B5" w:themeColor="accent1" w:themeShade="BF"/>
          <w:sz w:val="20"/>
          <w:szCs w:val="20"/>
        </w:rPr>
      </w:pPr>
    </w:p>
    <w:p w14:paraId="08F8852A" w14:textId="5C33E10D" w:rsidR="00C305B8" w:rsidRPr="00B13FC6" w:rsidRDefault="00C305B8" w:rsidP="005A1CA1">
      <w:pPr>
        <w:pStyle w:val="ListParagraph"/>
        <w:rPr>
          <w:rFonts w:ascii="Arial" w:hAnsi="Arial" w:cs="Arial"/>
          <w:b/>
          <w:color w:val="2E74B5" w:themeColor="accent1" w:themeShade="BF"/>
          <w:sz w:val="20"/>
          <w:szCs w:val="20"/>
        </w:rPr>
      </w:pPr>
    </w:p>
    <w:p w14:paraId="4D4D8896" w14:textId="60E7526C" w:rsidR="00C305B8" w:rsidRPr="00B13FC6" w:rsidRDefault="00C305B8" w:rsidP="005A1CA1">
      <w:pPr>
        <w:pStyle w:val="ListParagraph"/>
        <w:rPr>
          <w:rFonts w:ascii="Arial" w:hAnsi="Arial" w:cs="Arial"/>
          <w:b/>
          <w:color w:val="2E74B5" w:themeColor="accent1" w:themeShade="BF"/>
          <w:sz w:val="20"/>
          <w:szCs w:val="20"/>
        </w:rPr>
      </w:pPr>
    </w:p>
    <w:p w14:paraId="2551D77F" w14:textId="31D5D7C2" w:rsidR="00C305B8" w:rsidRPr="00B13FC6" w:rsidRDefault="00C305B8" w:rsidP="005A1CA1">
      <w:pPr>
        <w:pStyle w:val="ListParagraph"/>
        <w:rPr>
          <w:rFonts w:ascii="Arial" w:hAnsi="Arial" w:cs="Arial"/>
          <w:b/>
          <w:color w:val="2E74B5" w:themeColor="accent1" w:themeShade="BF"/>
          <w:sz w:val="20"/>
          <w:szCs w:val="20"/>
        </w:rPr>
      </w:pPr>
    </w:p>
    <w:p w14:paraId="73C2FE2C" w14:textId="402C8D3A" w:rsidR="00C305B8" w:rsidRPr="00B13FC6" w:rsidRDefault="00C305B8" w:rsidP="005A1CA1">
      <w:pPr>
        <w:pStyle w:val="ListParagraph"/>
        <w:rPr>
          <w:rFonts w:ascii="Arial" w:hAnsi="Arial" w:cs="Arial"/>
          <w:b/>
          <w:color w:val="2E74B5" w:themeColor="accent1" w:themeShade="BF"/>
          <w:sz w:val="20"/>
          <w:szCs w:val="20"/>
        </w:rPr>
      </w:pPr>
    </w:p>
    <w:p w14:paraId="0832C350" w14:textId="2FABA6DA" w:rsidR="00C305B8" w:rsidRPr="00B13FC6" w:rsidRDefault="00C305B8" w:rsidP="005A1CA1">
      <w:pPr>
        <w:pStyle w:val="ListParagraph"/>
        <w:rPr>
          <w:rFonts w:ascii="Arial" w:hAnsi="Arial" w:cs="Arial"/>
          <w:b/>
          <w:color w:val="2E74B5" w:themeColor="accent1" w:themeShade="BF"/>
          <w:sz w:val="20"/>
          <w:szCs w:val="20"/>
        </w:rPr>
      </w:pPr>
    </w:p>
    <w:p w14:paraId="672CC9D1" w14:textId="6A4A3554" w:rsidR="00C305B8" w:rsidRPr="00B13FC6" w:rsidRDefault="00C305B8" w:rsidP="005A1CA1">
      <w:pPr>
        <w:pStyle w:val="ListParagraph"/>
        <w:rPr>
          <w:rFonts w:ascii="Arial" w:hAnsi="Arial" w:cs="Arial"/>
          <w:b/>
          <w:color w:val="2E74B5" w:themeColor="accent1" w:themeShade="BF"/>
          <w:sz w:val="20"/>
          <w:szCs w:val="20"/>
        </w:rPr>
      </w:pPr>
    </w:p>
    <w:p w14:paraId="3BECBD0B" w14:textId="7E2AFCB3" w:rsidR="00C305B8" w:rsidRPr="00B13FC6" w:rsidRDefault="00C305B8" w:rsidP="005A1CA1">
      <w:pPr>
        <w:pStyle w:val="ListParagraph"/>
        <w:rPr>
          <w:rFonts w:ascii="Arial" w:hAnsi="Arial" w:cs="Arial"/>
          <w:b/>
          <w:color w:val="2E74B5" w:themeColor="accent1" w:themeShade="BF"/>
          <w:sz w:val="20"/>
          <w:szCs w:val="20"/>
        </w:rPr>
      </w:pPr>
    </w:p>
    <w:p w14:paraId="522D4D8C" w14:textId="35E5D8C9" w:rsidR="00C305B8" w:rsidRPr="00B13FC6" w:rsidRDefault="00C305B8" w:rsidP="005A1CA1">
      <w:pPr>
        <w:pStyle w:val="ListParagraph"/>
        <w:rPr>
          <w:rFonts w:ascii="Arial" w:hAnsi="Arial" w:cs="Arial"/>
          <w:b/>
          <w:color w:val="2E74B5" w:themeColor="accent1" w:themeShade="BF"/>
          <w:sz w:val="20"/>
          <w:szCs w:val="20"/>
        </w:rPr>
      </w:pPr>
    </w:p>
    <w:p w14:paraId="4DBA7235" w14:textId="7D2A9197" w:rsidR="00C305B8" w:rsidRPr="00B13FC6" w:rsidRDefault="00C305B8" w:rsidP="005A1CA1">
      <w:pPr>
        <w:pStyle w:val="ListParagraph"/>
        <w:rPr>
          <w:rFonts w:ascii="Arial" w:hAnsi="Arial" w:cs="Arial"/>
          <w:b/>
          <w:color w:val="2E74B5" w:themeColor="accent1" w:themeShade="BF"/>
          <w:sz w:val="20"/>
          <w:szCs w:val="20"/>
        </w:rPr>
      </w:pPr>
    </w:p>
    <w:p w14:paraId="3E1D62DD" w14:textId="420C3D48" w:rsidR="00C305B8" w:rsidRPr="00B13FC6" w:rsidRDefault="00C305B8" w:rsidP="005A1CA1">
      <w:pPr>
        <w:pStyle w:val="ListParagraph"/>
        <w:rPr>
          <w:rFonts w:ascii="Arial" w:hAnsi="Arial" w:cs="Arial"/>
          <w:b/>
          <w:color w:val="2E74B5" w:themeColor="accent1" w:themeShade="BF"/>
          <w:sz w:val="20"/>
          <w:szCs w:val="20"/>
        </w:rPr>
      </w:pPr>
    </w:p>
    <w:p w14:paraId="7F0CA001" w14:textId="77777777" w:rsidR="005A1CA1" w:rsidRPr="00A460E6" w:rsidRDefault="005A1CA1" w:rsidP="00CB6699">
      <w:pPr>
        <w:pStyle w:val="ListParagraph"/>
        <w:numPr>
          <w:ilvl w:val="0"/>
          <w:numId w:val="21"/>
        </w:numPr>
        <w:ind w:left="567" w:right="-1" w:hanging="501"/>
        <w:jc w:val="both"/>
        <w:rPr>
          <w:rFonts w:ascii="Arial" w:hAnsi="Arial" w:cs="Arial"/>
          <w:b/>
          <w:color w:val="000000" w:themeColor="text1"/>
          <w:sz w:val="20"/>
          <w:szCs w:val="20"/>
        </w:rPr>
      </w:pPr>
      <w:r w:rsidRPr="00A460E6">
        <w:rPr>
          <w:rFonts w:ascii="Arial" w:hAnsi="Arial" w:cs="Arial"/>
          <w:b/>
          <w:color w:val="000000" w:themeColor="text1"/>
          <w:sz w:val="20"/>
          <w:szCs w:val="20"/>
        </w:rPr>
        <w:t>Geografické rozdelenie expozícií, ktoré je v dôležitých oblastiach rozčlenené podľa významných tried expozícií</w:t>
      </w:r>
    </w:p>
    <w:tbl>
      <w:tblPr>
        <w:tblW w:w="9160" w:type="dxa"/>
        <w:tblInd w:w="55" w:type="dxa"/>
        <w:tblCellMar>
          <w:left w:w="70" w:type="dxa"/>
          <w:right w:w="70" w:type="dxa"/>
        </w:tblCellMar>
        <w:tblLook w:val="04A0" w:firstRow="1" w:lastRow="0" w:firstColumn="1" w:lastColumn="0" w:noHBand="0" w:noVBand="1"/>
      </w:tblPr>
      <w:tblGrid>
        <w:gridCol w:w="5260"/>
        <w:gridCol w:w="1280"/>
        <w:gridCol w:w="1660"/>
        <w:gridCol w:w="960"/>
      </w:tblGrid>
      <w:tr w:rsidR="002C6F50" w:rsidRPr="009C6D5F" w14:paraId="552248DB" w14:textId="77777777" w:rsidTr="002C6F50">
        <w:trPr>
          <w:trHeight w:val="255"/>
        </w:trPr>
        <w:tc>
          <w:tcPr>
            <w:tcW w:w="5260" w:type="dxa"/>
            <w:tcBorders>
              <w:top w:val="nil"/>
              <w:left w:val="nil"/>
              <w:bottom w:val="nil"/>
              <w:right w:val="nil"/>
            </w:tcBorders>
            <w:shd w:val="clear" w:color="auto" w:fill="auto"/>
            <w:noWrap/>
            <w:vAlign w:val="bottom"/>
            <w:hideMark/>
          </w:tcPr>
          <w:p w14:paraId="14B3B04E" w14:textId="77777777" w:rsidR="002C6F50" w:rsidRPr="00B13FC6" w:rsidRDefault="002C6F50" w:rsidP="002C6F50">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14:paraId="4C7F6951" w14:textId="77777777" w:rsidR="002C6F50" w:rsidRPr="00B13FC6" w:rsidRDefault="002C6F50" w:rsidP="002C6F50">
            <w:pPr>
              <w:spacing w:after="0" w:line="240" w:lineRule="auto"/>
              <w:rPr>
                <w:rFonts w:ascii="Arial" w:eastAsia="Times New Roman" w:hAnsi="Arial" w:cs="Arial"/>
                <w:sz w:val="20"/>
                <w:szCs w:val="20"/>
              </w:rPr>
            </w:pPr>
          </w:p>
        </w:tc>
        <w:tc>
          <w:tcPr>
            <w:tcW w:w="1660" w:type="dxa"/>
            <w:tcBorders>
              <w:top w:val="nil"/>
              <w:left w:val="nil"/>
              <w:bottom w:val="nil"/>
              <w:right w:val="nil"/>
            </w:tcBorders>
            <w:shd w:val="clear" w:color="auto" w:fill="auto"/>
            <w:noWrap/>
            <w:vAlign w:val="bottom"/>
            <w:hideMark/>
          </w:tcPr>
          <w:p w14:paraId="4EF81F1E" w14:textId="77777777" w:rsidR="002C6F50" w:rsidRPr="00B13FC6" w:rsidRDefault="002C6F50" w:rsidP="002C6F50">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14:paraId="1FCEA1CF" w14:textId="77777777" w:rsidR="002C6F50" w:rsidRPr="009C6D5F" w:rsidRDefault="002C6F50" w:rsidP="002C6F50">
            <w:pPr>
              <w:spacing w:after="0" w:line="240" w:lineRule="auto"/>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2C6F50" w:rsidRPr="009C6D5F" w14:paraId="1C4B9A37" w14:textId="77777777" w:rsidTr="002C6F50">
        <w:trPr>
          <w:trHeight w:val="510"/>
        </w:trPr>
        <w:tc>
          <w:tcPr>
            <w:tcW w:w="5260" w:type="dxa"/>
            <w:tcBorders>
              <w:top w:val="single" w:sz="4" w:space="0" w:color="auto"/>
              <w:left w:val="nil"/>
              <w:bottom w:val="single" w:sz="4" w:space="0" w:color="auto"/>
              <w:right w:val="nil"/>
            </w:tcBorders>
            <w:shd w:val="clear" w:color="auto" w:fill="auto"/>
            <w:noWrap/>
            <w:vAlign w:val="bottom"/>
            <w:hideMark/>
          </w:tcPr>
          <w:p w14:paraId="1F51DE6A" w14:textId="77777777" w:rsidR="002C6F50" w:rsidRPr="009C6D5F" w:rsidRDefault="002C6F50" w:rsidP="002C6F50">
            <w:pPr>
              <w:spacing w:after="0" w:line="240" w:lineRule="auto"/>
              <w:rPr>
                <w:rFonts w:ascii="Arial" w:eastAsia="Times New Roman" w:hAnsi="Arial" w:cs="Arial"/>
                <w:b/>
                <w:bCs/>
                <w:sz w:val="20"/>
                <w:szCs w:val="20"/>
              </w:rPr>
            </w:pPr>
            <w:r w:rsidRPr="009C6D5F">
              <w:rPr>
                <w:rFonts w:ascii="Arial" w:eastAsia="Times New Roman" w:hAnsi="Arial" w:cs="Arial"/>
                <w:b/>
                <w:bCs/>
                <w:sz w:val="20"/>
                <w:szCs w:val="20"/>
              </w:rPr>
              <w:t>Trieda expozície</w:t>
            </w:r>
          </w:p>
        </w:tc>
        <w:tc>
          <w:tcPr>
            <w:tcW w:w="1280" w:type="dxa"/>
            <w:tcBorders>
              <w:top w:val="single" w:sz="4" w:space="0" w:color="auto"/>
              <w:left w:val="nil"/>
              <w:bottom w:val="single" w:sz="4" w:space="0" w:color="auto"/>
              <w:right w:val="nil"/>
            </w:tcBorders>
            <w:shd w:val="clear" w:color="auto" w:fill="auto"/>
            <w:vAlign w:val="bottom"/>
            <w:hideMark/>
          </w:tcPr>
          <w:p w14:paraId="22CE4EB8" w14:textId="77777777" w:rsidR="002C6F50" w:rsidRPr="009C6D5F" w:rsidRDefault="002C6F50" w:rsidP="002C6F50">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Slovenská republika</w:t>
            </w:r>
          </w:p>
        </w:tc>
        <w:tc>
          <w:tcPr>
            <w:tcW w:w="1660" w:type="dxa"/>
            <w:tcBorders>
              <w:top w:val="single" w:sz="4" w:space="0" w:color="auto"/>
              <w:left w:val="nil"/>
              <w:bottom w:val="single" w:sz="4" w:space="0" w:color="auto"/>
              <w:right w:val="nil"/>
            </w:tcBorders>
            <w:shd w:val="clear" w:color="auto" w:fill="auto"/>
            <w:noWrap/>
            <w:vAlign w:val="center"/>
            <w:hideMark/>
          </w:tcPr>
          <w:p w14:paraId="5FAEA3E3" w14:textId="77777777" w:rsidR="002C6F50" w:rsidRPr="009C6D5F" w:rsidRDefault="002C6F50" w:rsidP="002C6F50">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Krajiny EÚ</w:t>
            </w:r>
          </w:p>
        </w:tc>
        <w:tc>
          <w:tcPr>
            <w:tcW w:w="960" w:type="dxa"/>
            <w:tcBorders>
              <w:top w:val="single" w:sz="4" w:space="0" w:color="auto"/>
              <w:left w:val="nil"/>
              <w:bottom w:val="single" w:sz="4" w:space="0" w:color="auto"/>
              <w:right w:val="nil"/>
            </w:tcBorders>
            <w:shd w:val="clear" w:color="auto" w:fill="auto"/>
            <w:vAlign w:val="bottom"/>
            <w:hideMark/>
          </w:tcPr>
          <w:p w14:paraId="49D21A66" w14:textId="77777777" w:rsidR="002C6F50" w:rsidRPr="009C6D5F" w:rsidRDefault="002C6F50" w:rsidP="002C6F50">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Ostatné krajiny</w:t>
            </w:r>
          </w:p>
        </w:tc>
      </w:tr>
      <w:tr w:rsidR="00FD6C1D" w:rsidRPr="009C6D5F" w14:paraId="7DB2673C" w14:textId="77777777" w:rsidTr="002C6F50">
        <w:trPr>
          <w:trHeight w:val="255"/>
        </w:trPr>
        <w:tc>
          <w:tcPr>
            <w:tcW w:w="5260" w:type="dxa"/>
            <w:tcBorders>
              <w:top w:val="nil"/>
              <w:left w:val="nil"/>
              <w:bottom w:val="nil"/>
              <w:right w:val="nil"/>
            </w:tcBorders>
            <w:shd w:val="clear" w:color="auto" w:fill="auto"/>
            <w:noWrap/>
            <w:vAlign w:val="center"/>
            <w:hideMark/>
          </w:tcPr>
          <w:p w14:paraId="1B67FDAF" w14:textId="14A1088E"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Ústredné vlády alebo centrálne banky</w:t>
            </w:r>
          </w:p>
        </w:tc>
        <w:tc>
          <w:tcPr>
            <w:tcW w:w="1280" w:type="dxa"/>
            <w:tcBorders>
              <w:top w:val="nil"/>
              <w:left w:val="nil"/>
              <w:bottom w:val="nil"/>
              <w:right w:val="nil"/>
            </w:tcBorders>
            <w:shd w:val="clear" w:color="auto" w:fill="auto"/>
            <w:noWrap/>
            <w:hideMark/>
          </w:tcPr>
          <w:p w14:paraId="7F7BE3E8" w14:textId="1FB58A46" w:rsidR="00FD6C1D" w:rsidRPr="009C6D5F" w:rsidRDefault="00FD6C1D" w:rsidP="00FD6C1D">
            <w:pPr>
              <w:spacing w:after="0"/>
              <w:jc w:val="right"/>
              <w:rPr>
                <w:color w:val="000000" w:themeColor="text1"/>
              </w:rPr>
            </w:pPr>
            <w:r w:rsidRPr="00234C2F">
              <w:t>175 921</w:t>
            </w:r>
          </w:p>
        </w:tc>
        <w:tc>
          <w:tcPr>
            <w:tcW w:w="1660" w:type="dxa"/>
            <w:tcBorders>
              <w:top w:val="nil"/>
              <w:left w:val="nil"/>
              <w:bottom w:val="nil"/>
              <w:right w:val="nil"/>
            </w:tcBorders>
            <w:shd w:val="clear" w:color="auto" w:fill="auto"/>
            <w:noWrap/>
            <w:hideMark/>
          </w:tcPr>
          <w:p w14:paraId="4EE34A78" w14:textId="46BFB919" w:rsidR="00FD6C1D" w:rsidRPr="009C6D5F" w:rsidRDefault="00FD6C1D" w:rsidP="00FD6C1D">
            <w:pPr>
              <w:spacing w:after="0"/>
              <w:jc w:val="right"/>
              <w:rPr>
                <w:color w:val="000000" w:themeColor="text1"/>
              </w:rPr>
            </w:pPr>
            <w:r w:rsidRPr="00234C2F">
              <w:t>10 405</w:t>
            </w:r>
          </w:p>
        </w:tc>
        <w:tc>
          <w:tcPr>
            <w:tcW w:w="960" w:type="dxa"/>
            <w:tcBorders>
              <w:top w:val="nil"/>
              <w:left w:val="nil"/>
              <w:bottom w:val="nil"/>
              <w:right w:val="nil"/>
            </w:tcBorders>
            <w:shd w:val="clear" w:color="auto" w:fill="auto"/>
            <w:noWrap/>
            <w:hideMark/>
          </w:tcPr>
          <w:p w14:paraId="00ACBBEF" w14:textId="0796B4E2" w:rsidR="00FD6C1D" w:rsidRPr="009C6D5F" w:rsidRDefault="00FD6C1D" w:rsidP="00FD6C1D">
            <w:pPr>
              <w:spacing w:after="0"/>
              <w:jc w:val="right"/>
              <w:rPr>
                <w:color w:val="000000" w:themeColor="text1"/>
              </w:rPr>
            </w:pPr>
            <w:r w:rsidRPr="00234C2F">
              <w:t>0</w:t>
            </w:r>
          </w:p>
        </w:tc>
      </w:tr>
      <w:tr w:rsidR="00FD6C1D" w:rsidRPr="009C6D5F" w14:paraId="2A7D7A86" w14:textId="77777777" w:rsidTr="002C6F50">
        <w:trPr>
          <w:trHeight w:val="255"/>
        </w:trPr>
        <w:tc>
          <w:tcPr>
            <w:tcW w:w="5260" w:type="dxa"/>
            <w:tcBorders>
              <w:top w:val="nil"/>
              <w:left w:val="nil"/>
              <w:bottom w:val="nil"/>
              <w:right w:val="nil"/>
            </w:tcBorders>
            <w:shd w:val="clear" w:color="auto" w:fill="auto"/>
            <w:noWrap/>
            <w:vAlign w:val="center"/>
            <w:hideMark/>
          </w:tcPr>
          <w:p w14:paraId="402F5778" w14:textId="1482529C"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Regionálne vlády alebo miestne orgány</w:t>
            </w:r>
          </w:p>
        </w:tc>
        <w:tc>
          <w:tcPr>
            <w:tcW w:w="1280" w:type="dxa"/>
            <w:tcBorders>
              <w:top w:val="nil"/>
              <w:left w:val="nil"/>
              <w:bottom w:val="nil"/>
              <w:right w:val="nil"/>
            </w:tcBorders>
            <w:shd w:val="clear" w:color="auto" w:fill="auto"/>
            <w:noWrap/>
            <w:hideMark/>
          </w:tcPr>
          <w:p w14:paraId="733B608C" w14:textId="6774EFD3" w:rsidR="00FD6C1D" w:rsidRPr="009C6D5F" w:rsidRDefault="00FD6C1D" w:rsidP="00FD6C1D">
            <w:pPr>
              <w:spacing w:after="0"/>
              <w:jc w:val="right"/>
              <w:rPr>
                <w:color w:val="000000" w:themeColor="text1"/>
              </w:rPr>
            </w:pPr>
            <w:r w:rsidRPr="00234C2F">
              <w:t>20 219</w:t>
            </w:r>
          </w:p>
        </w:tc>
        <w:tc>
          <w:tcPr>
            <w:tcW w:w="1660" w:type="dxa"/>
            <w:tcBorders>
              <w:top w:val="nil"/>
              <w:left w:val="nil"/>
              <w:bottom w:val="nil"/>
              <w:right w:val="nil"/>
            </w:tcBorders>
            <w:shd w:val="clear" w:color="auto" w:fill="auto"/>
            <w:noWrap/>
            <w:hideMark/>
          </w:tcPr>
          <w:p w14:paraId="47F3BF6A" w14:textId="78C95F5C" w:rsidR="00FD6C1D" w:rsidRPr="009C6D5F" w:rsidRDefault="00FD6C1D" w:rsidP="00FD6C1D">
            <w:pPr>
              <w:spacing w:after="0"/>
              <w:jc w:val="right"/>
              <w:rPr>
                <w:color w:val="000000" w:themeColor="text1"/>
              </w:rPr>
            </w:pPr>
            <w:r w:rsidRPr="00234C2F">
              <w:t>0</w:t>
            </w:r>
          </w:p>
        </w:tc>
        <w:tc>
          <w:tcPr>
            <w:tcW w:w="960" w:type="dxa"/>
            <w:tcBorders>
              <w:top w:val="nil"/>
              <w:left w:val="nil"/>
              <w:bottom w:val="nil"/>
              <w:right w:val="nil"/>
            </w:tcBorders>
            <w:shd w:val="clear" w:color="auto" w:fill="auto"/>
            <w:noWrap/>
            <w:hideMark/>
          </w:tcPr>
          <w:p w14:paraId="6D03165A" w14:textId="4D67E527" w:rsidR="00FD6C1D" w:rsidRPr="009C6D5F" w:rsidRDefault="00FD6C1D" w:rsidP="00FD6C1D">
            <w:pPr>
              <w:spacing w:after="0"/>
              <w:jc w:val="right"/>
              <w:rPr>
                <w:color w:val="000000" w:themeColor="text1"/>
              </w:rPr>
            </w:pPr>
            <w:r w:rsidRPr="00234C2F">
              <w:t>0</w:t>
            </w:r>
          </w:p>
        </w:tc>
      </w:tr>
      <w:tr w:rsidR="00FD6C1D" w:rsidRPr="009C6D5F" w14:paraId="6B5E0423" w14:textId="77777777" w:rsidTr="002C6F50">
        <w:trPr>
          <w:trHeight w:val="255"/>
        </w:trPr>
        <w:tc>
          <w:tcPr>
            <w:tcW w:w="5260" w:type="dxa"/>
            <w:tcBorders>
              <w:top w:val="nil"/>
              <w:left w:val="nil"/>
              <w:bottom w:val="nil"/>
              <w:right w:val="nil"/>
            </w:tcBorders>
            <w:shd w:val="clear" w:color="auto" w:fill="auto"/>
            <w:vAlign w:val="center"/>
            <w:hideMark/>
          </w:tcPr>
          <w:p w14:paraId="2AD23C06" w14:textId="6BDFBA0E"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Subjekty verejného sektora</w:t>
            </w:r>
          </w:p>
        </w:tc>
        <w:tc>
          <w:tcPr>
            <w:tcW w:w="1280" w:type="dxa"/>
            <w:tcBorders>
              <w:top w:val="nil"/>
              <w:left w:val="nil"/>
              <w:bottom w:val="nil"/>
              <w:right w:val="nil"/>
            </w:tcBorders>
            <w:shd w:val="clear" w:color="auto" w:fill="auto"/>
            <w:hideMark/>
          </w:tcPr>
          <w:p w14:paraId="5E5587BF" w14:textId="0F0C9CB3" w:rsidR="00FD6C1D" w:rsidRPr="009C6D5F" w:rsidRDefault="00FD6C1D" w:rsidP="00FD6C1D">
            <w:pPr>
              <w:spacing w:after="0"/>
              <w:jc w:val="right"/>
              <w:rPr>
                <w:color w:val="000000" w:themeColor="text1"/>
              </w:rPr>
            </w:pPr>
            <w:r w:rsidRPr="00234C2F">
              <w:t>2 459</w:t>
            </w:r>
          </w:p>
        </w:tc>
        <w:tc>
          <w:tcPr>
            <w:tcW w:w="1660" w:type="dxa"/>
            <w:tcBorders>
              <w:top w:val="nil"/>
              <w:left w:val="nil"/>
              <w:bottom w:val="nil"/>
              <w:right w:val="nil"/>
            </w:tcBorders>
            <w:shd w:val="clear" w:color="auto" w:fill="auto"/>
            <w:hideMark/>
          </w:tcPr>
          <w:p w14:paraId="124594DD" w14:textId="5D27115E" w:rsidR="00FD6C1D" w:rsidRPr="009C6D5F" w:rsidRDefault="00FD6C1D" w:rsidP="00FD6C1D">
            <w:pPr>
              <w:spacing w:after="0"/>
              <w:jc w:val="right"/>
              <w:rPr>
                <w:color w:val="000000" w:themeColor="text1"/>
              </w:rPr>
            </w:pPr>
            <w:r w:rsidRPr="00234C2F">
              <w:t>0</w:t>
            </w:r>
          </w:p>
        </w:tc>
        <w:tc>
          <w:tcPr>
            <w:tcW w:w="960" w:type="dxa"/>
            <w:tcBorders>
              <w:top w:val="nil"/>
              <w:left w:val="nil"/>
              <w:bottom w:val="nil"/>
              <w:right w:val="nil"/>
            </w:tcBorders>
            <w:shd w:val="clear" w:color="auto" w:fill="auto"/>
            <w:noWrap/>
            <w:hideMark/>
          </w:tcPr>
          <w:p w14:paraId="126C9A09" w14:textId="1E4460DC" w:rsidR="00FD6C1D" w:rsidRPr="009C6D5F" w:rsidRDefault="00FD6C1D" w:rsidP="00FD6C1D">
            <w:pPr>
              <w:spacing w:after="0"/>
              <w:jc w:val="right"/>
              <w:rPr>
                <w:color w:val="000000" w:themeColor="text1"/>
              </w:rPr>
            </w:pPr>
            <w:r w:rsidRPr="00234C2F">
              <w:t>0</w:t>
            </w:r>
          </w:p>
        </w:tc>
      </w:tr>
      <w:tr w:rsidR="00FD6C1D" w:rsidRPr="009C6D5F" w14:paraId="52A2817F" w14:textId="77777777" w:rsidTr="002C6F50">
        <w:trPr>
          <w:trHeight w:val="255"/>
        </w:trPr>
        <w:tc>
          <w:tcPr>
            <w:tcW w:w="5260" w:type="dxa"/>
            <w:tcBorders>
              <w:top w:val="nil"/>
              <w:left w:val="nil"/>
              <w:bottom w:val="nil"/>
              <w:right w:val="nil"/>
            </w:tcBorders>
            <w:shd w:val="clear" w:color="auto" w:fill="auto"/>
            <w:vAlign w:val="center"/>
            <w:hideMark/>
          </w:tcPr>
          <w:p w14:paraId="10D1ADC0" w14:textId="7C29D9CF"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Multilaterálne rozvojové banky</w:t>
            </w:r>
          </w:p>
        </w:tc>
        <w:tc>
          <w:tcPr>
            <w:tcW w:w="1280" w:type="dxa"/>
            <w:tcBorders>
              <w:top w:val="nil"/>
              <w:left w:val="nil"/>
              <w:bottom w:val="nil"/>
              <w:right w:val="nil"/>
            </w:tcBorders>
            <w:shd w:val="clear" w:color="auto" w:fill="auto"/>
            <w:hideMark/>
          </w:tcPr>
          <w:p w14:paraId="57035C1D" w14:textId="22F4BF16" w:rsidR="00FD6C1D" w:rsidRPr="009C6D5F" w:rsidRDefault="00FD6C1D" w:rsidP="00FD6C1D">
            <w:pPr>
              <w:spacing w:after="0"/>
              <w:jc w:val="right"/>
              <w:rPr>
                <w:color w:val="000000" w:themeColor="text1"/>
              </w:rPr>
            </w:pPr>
            <w:r w:rsidRPr="00234C2F">
              <w:t>326</w:t>
            </w:r>
          </w:p>
        </w:tc>
        <w:tc>
          <w:tcPr>
            <w:tcW w:w="1660" w:type="dxa"/>
            <w:tcBorders>
              <w:top w:val="nil"/>
              <w:left w:val="nil"/>
              <w:bottom w:val="nil"/>
              <w:right w:val="nil"/>
            </w:tcBorders>
            <w:shd w:val="clear" w:color="auto" w:fill="auto"/>
            <w:hideMark/>
          </w:tcPr>
          <w:p w14:paraId="36F1BBAC" w14:textId="78E62E5C" w:rsidR="00FD6C1D" w:rsidRPr="009C6D5F" w:rsidRDefault="00FD6C1D" w:rsidP="00FD6C1D">
            <w:pPr>
              <w:spacing w:after="0"/>
              <w:jc w:val="right"/>
              <w:rPr>
                <w:color w:val="000000" w:themeColor="text1"/>
              </w:rPr>
            </w:pPr>
            <w:r w:rsidRPr="00234C2F">
              <w:t>0</w:t>
            </w:r>
          </w:p>
        </w:tc>
        <w:tc>
          <w:tcPr>
            <w:tcW w:w="960" w:type="dxa"/>
            <w:tcBorders>
              <w:top w:val="nil"/>
              <w:left w:val="nil"/>
              <w:bottom w:val="nil"/>
              <w:right w:val="nil"/>
            </w:tcBorders>
            <w:shd w:val="clear" w:color="auto" w:fill="auto"/>
            <w:noWrap/>
            <w:hideMark/>
          </w:tcPr>
          <w:p w14:paraId="72B987FA" w14:textId="1ACDC13D" w:rsidR="00FD6C1D" w:rsidRPr="009C6D5F" w:rsidRDefault="00FD6C1D" w:rsidP="00FD6C1D">
            <w:pPr>
              <w:spacing w:after="0"/>
              <w:jc w:val="right"/>
              <w:rPr>
                <w:color w:val="000000" w:themeColor="text1"/>
              </w:rPr>
            </w:pPr>
            <w:r w:rsidRPr="00234C2F">
              <w:t>0</w:t>
            </w:r>
          </w:p>
        </w:tc>
      </w:tr>
      <w:tr w:rsidR="00FD6C1D" w:rsidRPr="009C6D5F" w14:paraId="2092E837" w14:textId="77777777" w:rsidTr="002C6F50">
        <w:trPr>
          <w:trHeight w:val="255"/>
        </w:trPr>
        <w:tc>
          <w:tcPr>
            <w:tcW w:w="5260" w:type="dxa"/>
            <w:tcBorders>
              <w:top w:val="nil"/>
              <w:left w:val="nil"/>
              <w:bottom w:val="nil"/>
              <w:right w:val="nil"/>
            </w:tcBorders>
            <w:shd w:val="clear" w:color="auto" w:fill="auto"/>
            <w:vAlign w:val="center"/>
            <w:hideMark/>
          </w:tcPr>
          <w:p w14:paraId="3F4ED2C2" w14:textId="5F9B60FD"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Inštitúcie</w:t>
            </w:r>
          </w:p>
        </w:tc>
        <w:tc>
          <w:tcPr>
            <w:tcW w:w="1280" w:type="dxa"/>
            <w:tcBorders>
              <w:top w:val="nil"/>
              <w:left w:val="nil"/>
              <w:bottom w:val="nil"/>
              <w:right w:val="nil"/>
            </w:tcBorders>
            <w:shd w:val="clear" w:color="auto" w:fill="auto"/>
            <w:hideMark/>
          </w:tcPr>
          <w:p w14:paraId="4DF82C59" w14:textId="2477A6D3" w:rsidR="00FD6C1D" w:rsidRPr="009C6D5F" w:rsidRDefault="00FD6C1D" w:rsidP="00FD6C1D">
            <w:pPr>
              <w:spacing w:after="0"/>
              <w:jc w:val="right"/>
              <w:rPr>
                <w:color w:val="000000" w:themeColor="text1"/>
              </w:rPr>
            </w:pPr>
            <w:r w:rsidRPr="00234C2F">
              <w:t>26 171</w:t>
            </w:r>
          </w:p>
        </w:tc>
        <w:tc>
          <w:tcPr>
            <w:tcW w:w="1660" w:type="dxa"/>
            <w:tcBorders>
              <w:top w:val="nil"/>
              <w:left w:val="nil"/>
              <w:bottom w:val="nil"/>
              <w:right w:val="nil"/>
            </w:tcBorders>
            <w:shd w:val="clear" w:color="auto" w:fill="auto"/>
            <w:hideMark/>
          </w:tcPr>
          <w:p w14:paraId="44CA444C" w14:textId="63BC56C8" w:rsidR="00FD6C1D" w:rsidRPr="009C6D5F" w:rsidRDefault="00FD6C1D" w:rsidP="00FD6C1D">
            <w:pPr>
              <w:spacing w:after="0"/>
              <w:jc w:val="right"/>
              <w:rPr>
                <w:color w:val="000000" w:themeColor="text1"/>
              </w:rPr>
            </w:pPr>
            <w:r w:rsidRPr="00234C2F">
              <w:t>8 729</w:t>
            </w:r>
          </w:p>
        </w:tc>
        <w:tc>
          <w:tcPr>
            <w:tcW w:w="960" w:type="dxa"/>
            <w:tcBorders>
              <w:top w:val="nil"/>
              <w:left w:val="nil"/>
              <w:bottom w:val="nil"/>
              <w:right w:val="nil"/>
            </w:tcBorders>
            <w:shd w:val="clear" w:color="auto" w:fill="auto"/>
            <w:noWrap/>
            <w:hideMark/>
          </w:tcPr>
          <w:p w14:paraId="1EAAFC04" w14:textId="5D50DA9A" w:rsidR="00FD6C1D" w:rsidRPr="009C6D5F" w:rsidRDefault="00FD6C1D" w:rsidP="00FD6C1D">
            <w:pPr>
              <w:spacing w:after="0"/>
              <w:jc w:val="right"/>
              <w:rPr>
                <w:color w:val="000000" w:themeColor="text1"/>
              </w:rPr>
            </w:pPr>
            <w:r w:rsidRPr="00234C2F">
              <w:t>7 584</w:t>
            </w:r>
          </w:p>
        </w:tc>
      </w:tr>
      <w:tr w:rsidR="00FD6C1D" w:rsidRPr="009C6D5F" w14:paraId="6DDEE241" w14:textId="77777777" w:rsidTr="002C6F50">
        <w:trPr>
          <w:trHeight w:val="255"/>
        </w:trPr>
        <w:tc>
          <w:tcPr>
            <w:tcW w:w="5260" w:type="dxa"/>
            <w:tcBorders>
              <w:top w:val="nil"/>
              <w:left w:val="nil"/>
              <w:bottom w:val="nil"/>
              <w:right w:val="nil"/>
            </w:tcBorders>
            <w:shd w:val="clear" w:color="auto" w:fill="auto"/>
            <w:noWrap/>
            <w:vAlign w:val="center"/>
            <w:hideMark/>
          </w:tcPr>
          <w:p w14:paraId="3EE359C0" w14:textId="55292D5F"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Podnikateľské subjekty</w:t>
            </w:r>
          </w:p>
        </w:tc>
        <w:tc>
          <w:tcPr>
            <w:tcW w:w="1280" w:type="dxa"/>
            <w:tcBorders>
              <w:top w:val="nil"/>
              <w:left w:val="nil"/>
              <w:bottom w:val="nil"/>
              <w:right w:val="nil"/>
            </w:tcBorders>
            <w:shd w:val="clear" w:color="auto" w:fill="auto"/>
            <w:noWrap/>
            <w:hideMark/>
          </w:tcPr>
          <w:p w14:paraId="32F6F770" w14:textId="6C4E2017" w:rsidR="00FD6C1D" w:rsidRPr="009C6D5F" w:rsidRDefault="00FD6C1D" w:rsidP="00FD6C1D">
            <w:pPr>
              <w:spacing w:after="0"/>
              <w:jc w:val="right"/>
              <w:rPr>
                <w:color w:val="000000" w:themeColor="text1"/>
              </w:rPr>
            </w:pPr>
            <w:r w:rsidRPr="00234C2F">
              <w:t>225 142</w:t>
            </w:r>
          </w:p>
        </w:tc>
        <w:tc>
          <w:tcPr>
            <w:tcW w:w="1660" w:type="dxa"/>
            <w:tcBorders>
              <w:top w:val="nil"/>
              <w:left w:val="nil"/>
              <w:bottom w:val="nil"/>
              <w:right w:val="nil"/>
            </w:tcBorders>
            <w:shd w:val="clear" w:color="auto" w:fill="auto"/>
            <w:noWrap/>
            <w:hideMark/>
          </w:tcPr>
          <w:p w14:paraId="477F519D" w14:textId="72F9FA81" w:rsidR="00FD6C1D" w:rsidRPr="009C6D5F" w:rsidRDefault="00FD6C1D" w:rsidP="00FD6C1D">
            <w:pPr>
              <w:spacing w:after="0"/>
              <w:jc w:val="right"/>
              <w:rPr>
                <w:color w:val="000000" w:themeColor="text1"/>
              </w:rPr>
            </w:pPr>
            <w:r w:rsidRPr="00234C2F">
              <w:t>11 670</w:t>
            </w:r>
          </w:p>
        </w:tc>
        <w:tc>
          <w:tcPr>
            <w:tcW w:w="960" w:type="dxa"/>
            <w:tcBorders>
              <w:top w:val="nil"/>
              <w:left w:val="nil"/>
              <w:bottom w:val="nil"/>
              <w:right w:val="nil"/>
            </w:tcBorders>
            <w:shd w:val="clear" w:color="auto" w:fill="auto"/>
            <w:noWrap/>
            <w:hideMark/>
          </w:tcPr>
          <w:p w14:paraId="7A6ACA46" w14:textId="1BFBAC3C" w:rsidR="00FD6C1D" w:rsidRPr="009C6D5F" w:rsidRDefault="00FD6C1D" w:rsidP="00FD6C1D">
            <w:pPr>
              <w:spacing w:after="0"/>
              <w:jc w:val="right"/>
              <w:rPr>
                <w:color w:val="000000" w:themeColor="text1"/>
              </w:rPr>
            </w:pPr>
            <w:r w:rsidRPr="00234C2F">
              <w:t>1</w:t>
            </w:r>
          </w:p>
        </w:tc>
      </w:tr>
      <w:tr w:rsidR="00FD6C1D" w:rsidRPr="009C6D5F" w14:paraId="59911AA5" w14:textId="77777777" w:rsidTr="002C6F50">
        <w:trPr>
          <w:trHeight w:val="255"/>
        </w:trPr>
        <w:tc>
          <w:tcPr>
            <w:tcW w:w="5260" w:type="dxa"/>
            <w:tcBorders>
              <w:top w:val="nil"/>
              <w:left w:val="nil"/>
              <w:bottom w:val="nil"/>
              <w:right w:val="nil"/>
            </w:tcBorders>
            <w:shd w:val="clear" w:color="auto" w:fill="auto"/>
            <w:noWrap/>
            <w:vAlign w:val="center"/>
            <w:hideMark/>
          </w:tcPr>
          <w:p w14:paraId="1A9AB726" w14:textId="1B6497A4" w:rsidR="00FD6C1D" w:rsidRPr="009C6D5F" w:rsidRDefault="00FD6C1D" w:rsidP="00FD6C1D">
            <w:pPr>
              <w:spacing w:after="0" w:line="240" w:lineRule="auto"/>
              <w:rPr>
                <w:rFonts w:ascii="Arial" w:eastAsia="Times New Roman" w:hAnsi="Arial" w:cs="Arial"/>
                <w:sz w:val="20"/>
                <w:szCs w:val="20"/>
              </w:rPr>
            </w:pPr>
            <w:proofErr w:type="spellStart"/>
            <w:r w:rsidRPr="009C6D5F">
              <w:rPr>
                <w:rFonts w:ascii="Arial" w:eastAsia="Times New Roman" w:hAnsi="Arial" w:cs="Arial"/>
                <w:sz w:val="20"/>
                <w:szCs w:val="20"/>
              </w:rPr>
              <w:t>Retailové</w:t>
            </w:r>
            <w:proofErr w:type="spellEnd"/>
            <w:r w:rsidRPr="009C6D5F">
              <w:rPr>
                <w:rFonts w:ascii="Arial" w:eastAsia="Times New Roman" w:hAnsi="Arial" w:cs="Arial"/>
                <w:sz w:val="20"/>
                <w:szCs w:val="20"/>
              </w:rPr>
              <w:t xml:space="preserve"> expozície</w:t>
            </w:r>
          </w:p>
        </w:tc>
        <w:tc>
          <w:tcPr>
            <w:tcW w:w="1280" w:type="dxa"/>
            <w:tcBorders>
              <w:top w:val="nil"/>
              <w:left w:val="nil"/>
              <w:bottom w:val="nil"/>
              <w:right w:val="nil"/>
            </w:tcBorders>
            <w:shd w:val="clear" w:color="auto" w:fill="auto"/>
            <w:noWrap/>
            <w:hideMark/>
          </w:tcPr>
          <w:p w14:paraId="3C70F70F" w14:textId="450E2584" w:rsidR="00FD6C1D" w:rsidRPr="009C6D5F" w:rsidRDefault="00FD6C1D" w:rsidP="00FD6C1D">
            <w:pPr>
              <w:spacing w:after="0"/>
              <w:jc w:val="right"/>
              <w:rPr>
                <w:color w:val="000000" w:themeColor="text1"/>
              </w:rPr>
            </w:pPr>
            <w:r w:rsidRPr="00234C2F">
              <w:t>252 701</w:t>
            </w:r>
          </w:p>
        </w:tc>
        <w:tc>
          <w:tcPr>
            <w:tcW w:w="1660" w:type="dxa"/>
            <w:tcBorders>
              <w:top w:val="nil"/>
              <w:left w:val="nil"/>
              <w:bottom w:val="nil"/>
              <w:right w:val="nil"/>
            </w:tcBorders>
            <w:shd w:val="clear" w:color="auto" w:fill="auto"/>
            <w:noWrap/>
            <w:hideMark/>
          </w:tcPr>
          <w:p w14:paraId="54C2D483" w14:textId="116C1207" w:rsidR="00FD6C1D" w:rsidRPr="009C6D5F" w:rsidRDefault="00FD6C1D" w:rsidP="00FD6C1D">
            <w:pPr>
              <w:spacing w:after="0"/>
              <w:jc w:val="right"/>
              <w:rPr>
                <w:color w:val="000000" w:themeColor="text1"/>
              </w:rPr>
            </w:pPr>
            <w:r w:rsidRPr="00234C2F">
              <w:t>350</w:t>
            </w:r>
          </w:p>
        </w:tc>
        <w:tc>
          <w:tcPr>
            <w:tcW w:w="960" w:type="dxa"/>
            <w:tcBorders>
              <w:top w:val="nil"/>
              <w:left w:val="nil"/>
              <w:bottom w:val="nil"/>
              <w:right w:val="nil"/>
            </w:tcBorders>
            <w:shd w:val="clear" w:color="auto" w:fill="auto"/>
            <w:noWrap/>
            <w:hideMark/>
          </w:tcPr>
          <w:p w14:paraId="515F8C2A" w14:textId="5D8580F0" w:rsidR="00FD6C1D" w:rsidRPr="009C6D5F" w:rsidRDefault="00FD6C1D" w:rsidP="00FD6C1D">
            <w:pPr>
              <w:spacing w:after="0"/>
              <w:jc w:val="right"/>
              <w:rPr>
                <w:color w:val="000000" w:themeColor="text1"/>
              </w:rPr>
            </w:pPr>
            <w:r w:rsidRPr="00234C2F">
              <w:t>37</w:t>
            </w:r>
          </w:p>
        </w:tc>
      </w:tr>
      <w:tr w:rsidR="00FD6C1D" w:rsidRPr="009C6D5F" w14:paraId="4D9D743F" w14:textId="77777777" w:rsidTr="002C6F50">
        <w:trPr>
          <w:trHeight w:val="255"/>
        </w:trPr>
        <w:tc>
          <w:tcPr>
            <w:tcW w:w="5260" w:type="dxa"/>
            <w:tcBorders>
              <w:top w:val="nil"/>
              <w:left w:val="nil"/>
              <w:bottom w:val="nil"/>
              <w:right w:val="nil"/>
            </w:tcBorders>
            <w:shd w:val="clear" w:color="auto" w:fill="auto"/>
            <w:vAlign w:val="center"/>
            <w:hideMark/>
          </w:tcPr>
          <w:p w14:paraId="2EB821A8" w14:textId="276061C3"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 xml:space="preserve">Expozície zabezpečené hypotékami na nehnuteľný majetok </w:t>
            </w:r>
          </w:p>
        </w:tc>
        <w:tc>
          <w:tcPr>
            <w:tcW w:w="1280" w:type="dxa"/>
            <w:tcBorders>
              <w:top w:val="nil"/>
              <w:left w:val="nil"/>
              <w:bottom w:val="nil"/>
              <w:right w:val="nil"/>
            </w:tcBorders>
            <w:shd w:val="clear" w:color="auto" w:fill="auto"/>
            <w:hideMark/>
          </w:tcPr>
          <w:p w14:paraId="68EFEB37" w14:textId="3912C05A" w:rsidR="00FD6C1D" w:rsidRPr="009C6D5F" w:rsidRDefault="00FD6C1D" w:rsidP="00FD6C1D">
            <w:pPr>
              <w:spacing w:after="0"/>
              <w:jc w:val="right"/>
              <w:rPr>
                <w:color w:val="000000" w:themeColor="text1"/>
              </w:rPr>
            </w:pPr>
            <w:r w:rsidRPr="00234C2F">
              <w:t>656 008</w:t>
            </w:r>
          </w:p>
        </w:tc>
        <w:tc>
          <w:tcPr>
            <w:tcW w:w="1660" w:type="dxa"/>
            <w:tcBorders>
              <w:top w:val="nil"/>
              <w:left w:val="nil"/>
              <w:bottom w:val="nil"/>
              <w:right w:val="nil"/>
            </w:tcBorders>
            <w:shd w:val="clear" w:color="auto" w:fill="auto"/>
            <w:hideMark/>
          </w:tcPr>
          <w:p w14:paraId="571F9E3B" w14:textId="43BB99C5" w:rsidR="00FD6C1D" w:rsidRPr="009C6D5F" w:rsidRDefault="00FD6C1D" w:rsidP="00FD6C1D">
            <w:pPr>
              <w:spacing w:after="0"/>
              <w:jc w:val="right"/>
              <w:rPr>
                <w:color w:val="000000" w:themeColor="text1"/>
              </w:rPr>
            </w:pPr>
            <w:r w:rsidRPr="00234C2F">
              <w:t>1 154</w:t>
            </w:r>
          </w:p>
        </w:tc>
        <w:tc>
          <w:tcPr>
            <w:tcW w:w="960" w:type="dxa"/>
            <w:tcBorders>
              <w:top w:val="nil"/>
              <w:left w:val="nil"/>
              <w:bottom w:val="nil"/>
              <w:right w:val="nil"/>
            </w:tcBorders>
            <w:shd w:val="clear" w:color="auto" w:fill="auto"/>
            <w:noWrap/>
            <w:hideMark/>
          </w:tcPr>
          <w:p w14:paraId="730623EF" w14:textId="186810A1" w:rsidR="00FD6C1D" w:rsidRPr="009C6D5F" w:rsidRDefault="00FD6C1D" w:rsidP="00FD6C1D">
            <w:pPr>
              <w:spacing w:after="0"/>
              <w:jc w:val="right"/>
              <w:rPr>
                <w:color w:val="000000" w:themeColor="text1"/>
              </w:rPr>
            </w:pPr>
            <w:r w:rsidRPr="00234C2F">
              <w:t>486</w:t>
            </w:r>
          </w:p>
        </w:tc>
      </w:tr>
      <w:tr w:rsidR="00FD6C1D" w:rsidRPr="009C6D5F" w14:paraId="0108BF6E" w14:textId="77777777" w:rsidTr="002C6F50">
        <w:trPr>
          <w:trHeight w:val="255"/>
        </w:trPr>
        <w:tc>
          <w:tcPr>
            <w:tcW w:w="5260" w:type="dxa"/>
            <w:tcBorders>
              <w:top w:val="nil"/>
              <w:left w:val="nil"/>
              <w:bottom w:val="nil"/>
              <w:right w:val="nil"/>
            </w:tcBorders>
            <w:shd w:val="clear" w:color="auto" w:fill="auto"/>
            <w:vAlign w:val="center"/>
            <w:hideMark/>
          </w:tcPr>
          <w:p w14:paraId="2C81686F" w14:textId="305A22AC"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v stave zlyhania</w:t>
            </w:r>
          </w:p>
        </w:tc>
        <w:tc>
          <w:tcPr>
            <w:tcW w:w="1280" w:type="dxa"/>
            <w:tcBorders>
              <w:top w:val="nil"/>
              <w:left w:val="nil"/>
              <w:bottom w:val="nil"/>
              <w:right w:val="nil"/>
            </w:tcBorders>
            <w:shd w:val="clear" w:color="auto" w:fill="auto"/>
            <w:hideMark/>
          </w:tcPr>
          <w:p w14:paraId="7B90321A" w14:textId="5E0CB985" w:rsidR="00FD6C1D" w:rsidRPr="009C6D5F" w:rsidRDefault="00FD6C1D" w:rsidP="00FD6C1D">
            <w:pPr>
              <w:spacing w:after="0"/>
              <w:jc w:val="right"/>
              <w:rPr>
                <w:color w:val="000000" w:themeColor="text1"/>
              </w:rPr>
            </w:pPr>
            <w:r w:rsidRPr="00234C2F">
              <w:t>16 776</w:t>
            </w:r>
          </w:p>
        </w:tc>
        <w:tc>
          <w:tcPr>
            <w:tcW w:w="1660" w:type="dxa"/>
            <w:tcBorders>
              <w:top w:val="nil"/>
              <w:left w:val="nil"/>
              <w:bottom w:val="nil"/>
              <w:right w:val="nil"/>
            </w:tcBorders>
            <w:shd w:val="clear" w:color="auto" w:fill="auto"/>
            <w:hideMark/>
          </w:tcPr>
          <w:p w14:paraId="65DF1018" w14:textId="18FE2508" w:rsidR="00FD6C1D" w:rsidRPr="009C6D5F" w:rsidRDefault="00FD6C1D" w:rsidP="00FD6C1D">
            <w:pPr>
              <w:spacing w:after="0"/>
              <w:jc w:val="right"/>
              <w:rPr>
                <w:color w:val="000000" w:themeColor="text1"/>
              </w:rPr>
            </w:pPr>
            <w:r w:rsidRPr="00234C2F">
              <w:t>81</w:t>
            </w:r>
          </w:p>
        </w:tc>
        <w:tc>
          <w:tcPr>
            <w:tcW w:w="960" w:type="dxa"/>
            <w:tcBorders>
              <w:top w:val="nil"/>
              <w:left w:val="nil"/>
              <w:bottom w:val="nil"/>
              <w:right w:val="nil"/>
            </w:tcBorders>
            <w:shd w:val="clear" w:color="auto" w:fill="auto"/>
            <w:noWrap/>
            <w:hideMark/>
          </w:tcPr>
          <w:p w14:paraId="39796447" w14:textId="5C7B4D03" w:rsidR="00FD6C1D" w:rsidRPr="009C6D5F" w:rsidRDefault="00FD6C1D" w:rsidP="00FD6C1D">
            <w:pPr>
              <w:spacing w:after="0"/>
              <w:jc w:val="right"/>
              <w:rPr>
                <w:color w:val="000000" w:themeColor="text1"/>
              </w:rPr>
            </w:pPr>
            <w:r w:rsidRPr="00234C2F">
              <w:t>4</w:t>
            </w:r>
          </w:p>
        </w:tc>
      </w:tr>
      <w:tr w:rsidR="00FD6C1D" w:rsidRPr="009C6D5F" w14:paraId="1998C711" w14:textId="77777777" w:rsidTr="002C6F50">
        <w:trPr>
          <w:trHeight w:val="255"/>
        </w:trPr>
        <w:tc>
          <w:tcPr>
            <w:tcW w:w="5260" w:type="dxa"/>
            <w:tcBorders>
              <w:top w:val="nil"/>
              <w:left w:val="nil"/>
              <w:bottom w:val="nil"/>
              <w:right w:val="nil"/>
            </w:tcBorders>
            <w:shd w:val="clear" w:color="auto" w:fill="auto"/>
            <w:vAlign w:val="center"/>
            <w:hideMark/>
          </w:tcPr>
          <w:p w14:paraId="47A484F3" w14:textId="6FDE949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s ktorými súvisí osobitne vysoké riziko</w:t>
            </w:r>
          </w:p>
        </w:tc>
        <w:tc>
          <w:tcPr>
            <w:tcW w:w="1280" w:type="dxa"/>
            <w:tcBorders>
              <w:top w:val="nil"/>
              <w:left w:val="nil"/>
              <w:bottom w:val="nil"/>
              <w:right w:val="nil"/>
            </w:tcBorders>
            <w:shd w:val="clear" w:color="auto" w:fill="auto"/>
            <w:hideMark/>
          </w:tcPr>
          <w:p w14:paraId="0D8D3BA4" w14:textId="01C17872" w:rsidR="00FD6C1D" w:rsidRPr="009C6D5F" w:rsidRDefault="00FD6C1D" w:rsidP="00FD6C1D">
            <w:pPr>
              <w:spacing w:after="0"/>
              <w:jc w:val="right"/>
              <w:rPr>
                <w:color w:val="000000" w:themeColor="text1"/>
              </w:rPr>
            </w:pPr>
            <w:r w:rsidRPr="00234C2F">
              <w:t>1 552</w:t>
            </w:r>
          </w:p>
        </w:tc>
        <w:tc>
          <w:tcPr>
            <w:tcW w:w="1660" w:type="dxa"/>
            <w:tcBorders>
              <w:top w:val="nil"/>
              <w:left w:val="nil"/>
              <w:bottom w:val="nil"/>
              <w:right w:val="nil"/>
            </w:tcBorders>
            <w:shd w:val="clear" w:color="auto" w:fill="auto"/>
            <w:hideMark/>
          </w:tcPr>
          <w:p w14:paraId="7E35CDF4" w14:textId="1E0AB531" w:rsidR="00FD6C1D" w:rsidRPr="009C6D5F" w:rsidRDefault="00FD6C1D" w:rsidP="00FD6C1D">
            <w:pPr>
              <w:spacing w:after="0"/>
              <w:jc w:val="right"/>
              <w:rPr>
                <w:color w:val="000000" w:themeColor="text1"/>
              </w:rPr>
            </w:pPr>
            <w:r w:rsidRPr="00234C2F">
              <w:t>0</w:t>
            </w:r>
          </w:p>
        </w:tc>
        <w:tc>
          <w:tcPr>
            <w:tcW w:w="960" w:type="dxa"/>
            <w:tcBorders>
              <w:top w:val="nil"/>
              <w:left w:val="nil"/>
              <w:bottom w:val="nil"/>
              <w:right w:val="nil"/>
            </w:tcBorders>
            <w:shd w:val="clear" w:color="auto" w:fill="auto"/>
            <w:noWrap/>
            <w:hideMark/>
          </w:tcPr>
          <w:p w14:paraId="712AFF80" w14:textId="783DA118" w:rsidR="00FD6C1D" w:rsidRPr="009C6D5F" w:rsidRDefault="00FD6C1D" w:rsidP="00FD6C1D">
            <w:pPr>
              <w:spacing w:after="0"/>
              <w:jc w:val="right"/>
              <w:rPr>
                <w:color w:val="000000" w:themeColor="text1"/>
              </w:rPr>
            </w:pPr>
            <w:r w:rsidRPr="00234C2F">
              <w:t>0</w:t>
            </w:r>
          </w:p>
        </w:tc>
      </w:tr>
      <w:tr w:rsidR="00FD6C1D" w:rsidRPr="009C6D5F" w14:paraId="6416034C" w14:textId="77777777" w:rsidTr="002C6F50">
        <w:trPr>
          <w:trHeight w:val="255"/>
        </w:trPr>
        <w:tc>
          <w:tcPr>
            <w:tcW w:w="5260" w:type="dxa"/>
            <w:tcBorders>
              <w:top w:val="nil"/>
              <w:left w:val="nil"/>
              <w:bottom w:val="nil"/>
              <w:right w:val="nil"/>
            </w:tcBorders>
            <w:shd w:val="clear" w:color="auto" w:fill="auto"/>
            <w:vAlign w:val="center"/>
            <w:hideMark/>
          </w:tcPr>
          <w:p w14:paraId="15198A81" w14:textId="55A1CB40"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Kapitálové expozície</w:t>
            </w:r>
          </w:p>
        </w:tc>
        <w:tc>
          <w:tcPr>
            <w:tcW w:w="1280" w:type="dxa"/>
            <w:tcBorders>
              <w:top w:val="nil"/>
              <w:left w:val="nil"/>
              <w:bottom w:val="nil"/>
              <w:right w:val="nil"/>
            </w:tcBorders>
            <w:shd w:val="clear" w:color="auto" w:fill="auto"/>
            <w:hideMark/>
          </w:tcPr>
          <w:p w14:paraId="0FE33A9A" w14:textId="6CF3DCE5" w:rsidR="00FD6C1D" w:rsidRPr="009C6D5F" w:rsidRDefault="00FD6C1D" w:rsidP="00FD6C1D">
            <w:pPr>
              <w:spacing w:after="0"/>
              <w:jc w:val="right"/>
              <w:rPr>
                <w:color w:val="000000" w:themeColor="text1"/>
              </w:rPr>
            </w:pPr>
            <w:r w:rsidRPr="00234C2F">
              <w:t>0</w:t>
            </w:r>
          </w:p>
        </w:tc>
        <w:tc>
          <w:tcPr>
            <w:tcW w:w="1660" w:type="dxa"/>
            <w:tcBorders>
              <w:top w:val="nil"/>
              <w:left w:val="nil"/>
              <w:bottom w:val="nil"/>
              <w:right w:val="nil"/>
            </w:tcBorders>
            <w:shd w:val="clear" w:color="auto" w:fill="auto"/>
            <w:hideMark/>
          </w:tcPr>
          <w:p w14:paraId="1B4BE137" w14:textId="373F3F95" w:rsidR="00FD6C1D" w:rsidRPr="009C6D5F" w:rsidRDefault="00FD6C1D" w:rsidP="00FD6C1D">
            <w:pPr>
              <w:spacing w:after="0"/>
              <w:jc w:val="right"/>
              <w:rPr>
                <w:color w:val="000000" w:themeColor="text1"/>
              </w:rPr>
            </w:pPr>
            <w:r w:rsidRPr="00234C2F">
              <w:t>7</w:t>
            </w:r>
          </w:p>
        </w:tc>
        <w:tc>
          <w:tcPr>
            <w:tcW w:w="960" w:type="dxa"/>
            <w:tcBorders>
              <w:top w:val="nil"/>
              <w:left w:val="nil"/>
              <w:bottom w:val="nil"/>
              <w:right w:val="nil"/>
            </w:tcBorders>
            <w:shd w:val="clear" w:color="auto" w:fill="auto"/>
            <w:noWrap/>
            <w:hideMark/>
          </w:tcPr>
          <w:p w14:paraId="490BC875" w14:textId="401E0AEF" w:rsidR="00FD6C1D" w:rsidRPr="009C6D5F" w:rsidRDefault="00FD6C1D" w:rsidP="00FD6C1D">
            <w:pPr>
              <w:spacing w:after="0"/>
              <w:jc w:val="right"/>
              <w:rPr>
                <w:color w:val="000000" w:themeColor="text1"/>
              </w:rPr>
            </w:pPr>
            <w:r w:rsidRPr="00234C2F">
              <w:t>1 126</w:t>
            </w:r>
          </w:p>
        </w:tc>
      </w:tr>
      <w:tr w:rsidR="00FD6C1D" w:rsidRPr="00B13FC6" w14:paraId="7F9F9757" w14:textId="77777777" w:rsidTr="002C6F50">
        <w:trPr>
          <w:trHeight w:val="255"/>
        </w:trPr>
        <w:tc>
          <w:tcPr>
            <w:tcW w:w="5260" w:type="dxa"/>
            <w:tcBorders>
              <w:top w:val="nil"/>
              <w:left w:val="nil"/>
              <w:bottom w:val="single" w:sz="4" w:space="0" w:color="auto"/>
              <w:right w:val="nil"/>
            </w:tcBorders>
            <w:shd w:val="clear" w:color="auto" w:fill="auto"/>
            <w:noWrap/>
            <w:vAlign w:val="center"/>
            <w:hideMark/>
          </w:tcPr>
          <w:p w14:paraId="3B896FCC" w14:textId="794BADD6"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 xml:space="preserve">Iné položky </w:t>
            </w:r>
          </w:p>
        </w:tc>
        <w:tc>
          <w:tcPr>
            <w:tcW w:w="1280" w:type="dxa"/>
            <w:tcBorders>
              <w:top w:val="nil"/>
              <w:left w:val="nil"/>
              <w:bottom w:val="single" w:sz="4" w:space="0" w:color="auto"/>
              <w:right w:val="nil"/>
            </w:tcBorders>
            <w:shd w:val="clear" w:color="auto" w:fill="auto"/>
            <w:noWrap/>
            <w:hideMark/>
          </w:tcPr>
          <w:p w14:paraId="2292C23F" w14:textId="2F52CF94" w:rsidR="00FD6C1D" w:rsidRPr="009C6D5F" w:rsidRDefault="00FD6C1D" w:rsidP="00FD6C1D">
            <w:pPr>
              <w:spacing w:after="0"/>
              <w:jc w:val="right"/>
              <w:rPr>
                <w:color w:val="000000" w:themeColor="text1"/>
              </w:rPr>
            </w:pPr>
            <w:r w:rsidRPr="00234C2F">
              <w:t>64 483</w:t>
            </w:r>
          </w:p>
        </w:tc>
        <w:tc>
          <w:tcPr>
            <w:tcW w:w="1660" w:type="dxa"/>
            <w:tcBorders>
              <w:top w:val="nil"/>
              <w:left w:val="nil"/>
              <w:bottom w:val="single" w:sz="4" w:space="0" w:color="auto"/>
              <w:right w:val="nil"/>
            </w:tcBorders>
            <w:shd w:val="clear" w:color="auto" w:fill="auto"/>
            <w:noWrap/>
            <w:hideMark/>
          </w:tcPr>
          <w:p w14:paraId="7332BC42" w14:textId="6457CE25" w:rsidR="00FD6C1D" w:rsidRPr="009C6D5F" w:rsidRDefault="00FD6C1D" w:rsidP="00FD6C1D">
            <w:pPr>
              <w:spacing w:after="0"/>
              <w:jc w:val="right"/>
              <w:rPr>
                <w:color w:val="000000" w:themeColor="text1"/>
              </w:rPr>
            </w:pPr>
            <w:r w:rsidRPr="00234C2F">
              <w:t>0</w:t>
            </w:r>
          </w:p>
        </w:tc>
        <w:tc>
          <w:tcPr>
            <w:tcW w:w="960" w:type="dxa"/>
            <w:tcBorders>
              <w:top w:val="nil"/>
              <w:left w:val="nil"/>
              <w:bottom w:val="single" w:sz="4" w:space="0" w:color="auto"/>
              <w:right w:val="nil"/>
            </w:tcBorders>
            <w:shd w:val="clear" w:color="auto" w:fill="auto"/>
            <w:noWrap/>
            <w:hideMark/>
          </w:tcPr>
          <w:p w14:paraId="7C6D13DA" w14:textId="7C2F4F47" w:rsidR="00FD6C1D" w:rsidRPr="009C6D5F" w:rsidRDefault="00FD6C1D" w:rsidP="00FD6C1D">
            <w:pPr>
              <w:spacing w:after="0"/>
              <w:jc w:val="right"/>
              <w:rPr>
                <w:color w:val="000000" w:themeColor="text1"/>
              </w:rPr>
            </w:pPr>
            <w:r w:rsidRPr="00234C2F">
              <w:t>0</w:t>
            </w:r>
          </w:p>
        </w:tc>
      </w:tr>
    </w:tbl>
    <w:p w14:paraId="4DC39E1F" w14:textId="77777777" w:rsidR="002C6F50" w:rsidRPr="00B13FC6" w:rsidRDefault="002C6F50" w:rsidP="008E6FA8">
      <w:pPr>
        <w:ind w:right="-426"/>
        <w:rPr>
          <w:rFonts w:ascii="Arial" w:hAnsi="Arial" w:cs="Arial"/>
          <w:b/>
          <w:color w:val="2E74B5" w:themeColor="accent1" w:themeShade="BF"/>
          <w:sz w:val="20"/>
          <w:szCs w:val="20"/>
        </w:rPr>
        <w:sectPr w:rsidR="002C6F50" w:rsidRPr="00B13FC6" w:rsidSect="00E81D22">
          <w:pgSz w:w="11906" w:h="16838" w:code="9"/>
          <w:pgMar w:top="1418" w:right="991" w:bottom="1418" w:left="1418" w:header="709" w:footer="709" w:gutter="0"/>
          <w:cols w:space="708"/>
          <w:docGrid w:linePitch="360"/>
        </w:sectPr>
      </w:pPr>
    </w:p>
    <w:p w14:paraId="69D3C56A" w14:textId="77777777" w:rsidR="00C60CC2" w:rsidRPr="00A460E6" w:rsidRDefault="00C60CC2" w:rsidP="00C60CC2">
      <w:pPr>
        <w:pStyle w:val="ListParagraph"/>
        <w:numPr>
          <w:ilvl w:val="0"/>
          <w:numId w:val="21"/>
        </w:numPr>
        <w:ind w:left="567" w:right="-426" w:hanging="501"/>
        <w:rPr>
          <w:rFonts w:ascii="Arial" w:hAnsi="Arial" w:cs="Arial"/>
          <w:b/>
          <w:color w:val="000000" w:themeColor="text1"/>
          <w:sz w:val="20"/>
          <w:szCs w:val="20"/>
        </w:rPr>
      </w:pPr>
      <w:r w:rsidRPr="00A460E6">
        <w:rPr>
          <w:rFonts w:ascii="Arial" w:hAnsi="Arial" w:cs="Arial"/>
          <w:b/>
          <w:color w:val="000000" w:themeColor="text1"/>
          <w:sz w:val="20"/>
          <w:szCs w:val="20"/>
        </w:rPr>
        <w:t>Rozdelenie expozícií podľa hospodárskeho odvetvia alebo druhu protistrany rozčlenené podľa tried expozícií vrátane uvedenia expozície voči MSP, prípadne ďalšie podrobnosti</w:t>
      </w:r>
    </w:p>
    <w:p w14:paraId="7C495A62" w14:textId="77777777" w:rsidR="00346F15" w:rsidRPr="00B13FC6" w:rsidRDefault="00346F15" w:rsidP="00346F15">
      <w:pPr>
        <w:pStyle w:val="ListParagraph"/>
        <w:ind w:left="567" w:right="-426"/>
        <w:rPr>
          <w:rFonts w:ascii="Arial" w:hAnsi="Arial" w:cs="Arial"/>
          <w:b/>
          <w:color w:val="000000" w:themeColor="text1"/>
          <w:sz w:val="20"/>
          <w:szCs w:val="20"/>
        </w:rPr>
      </w:pPr>
    </w:p>
    <w:p w14:paraId="251D4A81" w14:textId="0EA29121" w:rsidR="00346F15" w:rsidRPr="00B13FC6" w:rsidRDefault="00346F15" w:rsidP="00346F15">
      <w:pPr>
        <w:pStyle w:val="ListParagraph"/>
        <w:rPr>
          <w:rFonts w:ascii="Arial" w:hAnsi="Arial" w:cs="Arial"/>
          <w:color w:val="000000" w:themeColor="text1"/>
          <w:sz w:val="20"/>
          <w:szCs w:val="20"/>
        </w:rPr>
      </w:pPr>
      <w:r w:rsidRPr="00B13FC6">
        <w:rPr>
          <w:rFonts w:ascii="Arial" w:hAnsi="Arial" w:cs="Arial"/>
          <w:color w:val="000000" w:themeColor="text1"/>
          <w:sz w:val="20"/>
          <w:szCs w:val="20"/>
        </w:rPr>
        <w:t>Banka uverejňuje iba triedy expozícií, v ktorých mala podľa stavu k </w:t>
      </w:r>
      <w:r w:rsidR="00E758CD">
        <w:rPr>
          <w:rFonts w:ascii="Arial" w:hAnsi="Arial" w:cs="Arial"/>
          <w:color w:val="000000" w:themeColor="text1"/>
          <w:sz w:val="20"/>
          <w:szCs w:val="20"/>
        </w:rPr>
        <w:t>3</w:t>
      </w:r>
      <w:r w:rsidR="00E85055">
        <w:rPr>
          <w:rFonts w:ascii="Arial" w:hAnsi="Arial" w:cs="Arial"/>
          <w:color w:val="000000" w:themeColor="text1"/>
          <w:sz w:val="20"/>
          <w:szCs w:val="20"/>
        </w:rPr>
        <w:t>1</w:t>
      </w:r>
      <w:r w:rsidR="00E758CD">
        <w:rPr>
          <w:rFonts w:ascii="Arial" w:hAnsi="Arial" w:cs="Arial"/>
          <w:color w:val="000000" w:themeColor="text1"/>
          <w:sz w:val="20"/>
          <w:szCs w:val="20"/>
        </w:rPr>
        <w:t>.</w:t>
      </w:r>
      <w:r w:rsidR="005B5A40">
        <w:rPr>
          <w:rFonts w:ascii="Arial" w:hAnsi="Arial" w:cs="Arial"/>
          <w:color w:val="000000" w:themeColor="text1"/>
          <w:sz w:val="20"/>
          <w:szCs w:val="20"/>
        </w:rPr>
        <w:t>03.2021</w:t>
      </w:r>
      <w:r w:rsidRPr="00B13FC6">
        <w:rPr>
          <w:rFonts w:ascii="Arial" w:hAnsi="Arial" w:cs="Arial"/>
          <w:color w:val="000000" w:themeColor="text1"/>
          <w:sz w:val="20"/>
          <w:szCs w:val="20"/>
        </w:rPr>
        <w:t xml:space="preserve"> expozíciu.</w:t>
      </w:r>
    </w:p>
    <w:p w14:paraId="7EDD0445" w14:textId="49A4D1F7" w:rsidR="008E6FA8" w:rsidRPr="00B13FC6" w:rsidRDefault="008E6FA8" w:rsidP="008E6FA8">
      <w:pPr>
        <w:pStyle w:val="ListParagraph"/>
        <w:rPr>
          <w:rFonts w:ascii="Arial" w:hAnsi="Arial" w:cs="Arial"/>
          <w:b/>
          <w:color w:val="2E74B5" w:themeColor="accent1" w:themeShade="BF"/>
          <w:sz w:val="20"/>
          <w:szCs w:val="20"/>
        </w:rPr>
      </w:pP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eastAsia="Times New Roman" w:hAnsi="Arial" w:cs="Arial"/>
          <w:color w:val="000000" w:themeColor="text1"/>
          <w:sz w:val="16"/>
          <w:szCs w:val="16"/>
        </w:rPr>
        <w:t>(v tis. EUR)</w:t>
      </w:r>
    </w:p>
    <w:tbl>
      <w:tblPr>
        <w:tblW w:w="15480" w:type="dxa"/>
        <w:tblInd w:w="55" w:type="dxa"/>
        <w:tblCellMar>
          <w:left w:w="70" w:type="dxa"/>
          <w:right w:w="70" w:type="dxa"/>
        </w:tblCellMar>
        <w:tblLook w:val="04A0" w:firstRow="1" w:lastRow="0" w:firstColumn="1" w:lastColumn="0" w:noHBand="0" w:noVBand="1"/>
      </w:tblPr>
      <w:tblGrid>
        <w:gridCol w:w="2960"/>
        <w:gridCol w:w="940"/>
        <w:gridCol w:w="1020"/>
        <w:gridCol w:w="900"/>
        <w:gridCol w:w="860"/>
        <w:gridCol w:w="880"/>
        <w:gridCol w:w="1200"/>
        <w:gridCol w:w="900"/>
        <w:gridCol w:w="1540"/>
        <w:gridCol w:w="1020"/>
        <w:gridCol w:w="1180"/>
        <w:gridCol w:w="1180"/>
        <w:gridCol w:w="900"/>
      </w:tblGrid>
      <w:tr w:rsidR="00F74D89" w:rsidRPr="009C6D5F" w14:paraId="0CC4F1E6" w14:textId="77777777" w:rsidTr="002C6F50">
        <w:trPr>
          <w:trHeight w:val="255"/>
        </w:trPr>
        <w:tc>
          <w:tcPr>
            <w:tcW w:w="2960" w:type="dxa"/>
            <w:vMerge w:val="restart"/>
            <w:tcBorders>
              <w:top w:val="single" w:sz="4" w:space="0" w:color="auto"/>
              <w:left w:val="nil"/>
              <w:bottom w:val="single" w:sz="4" w:space="0" w:color="000000"/>
              <w:right w:val="nil"/>
            </w:tcBorders>
            <w:shd w:val="clear" w:color="auto" w:fill="auto"/>
            <w:noWrap/>
            <w:vAlign w:val="center"/>
            <w:hideMark/>
          </w:tcPr>
          <w:p w14:paraId="29A868CE" w14:textId="57B57B09"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Odvetvie/Trieda expozície</w:t>
            </w:r>
          </w:p>
        </w:tc>
        <w:tc>
          <w:tcPr>
            <w:tcW w:w="940" w:type="dxa"/>
            <w:tcBorders>
              <w:top w:val="single" w:sz="4" w:space="0" w:color="auto"/>
              <w:left w:val="nil"/>
              <w:bottom w:val="nil"/>
              <w:right w:val="nil"/>
            </w:tcBorders>
            <w:shd w:val="clear" w:color="auto" w:fill="auto"/>
            <w:noWrap/>
            <w:vAlign w:val="bottom"/>
            <w:hideMark/>
          </w:tcPr>
          <w:p w14:paraId="3CC980D3" w14:textId="288B442F"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w:t>
            </w:r>
          </w:p>
        </w:tc>
        <w:tc>
          <w:tcPr>
            <w:tcW w:w="1020" w:type="dxa"/>
            <w:tcBorders>
              <w:top w:val="single" w:sz="4" w:space="0" w:color="auto"/>
              <w:left w:val="nil"/>
              <w:bottom w:val="nil"/>
              <w:right w:val="nil"/>
            </w:tcBorders>
            <w:shd w:val="clear" w:color="auto" w:fill="auto"/>
            <w:noWrap/>
            <w:vAlign w:val="bottom"/>
            <w:hideMark/>
          </w:tcPr>
          <w:p w14:paraId="195FFE43" w14:textId="43812C36"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2</w:t>
            </w:r>
          </w:p>
        </w:tc>
        <w:tc>
          <w:tcPr>
            <w:tcW w:w="900" w:type="dxa"/>
            <w:tcBorders>
              <w:top w:val="single" w:sz="4" w:space="0" w:color="auto"/>
              <w:left w:val="nil"/>
              <w:bottom w:val="nil"/>
              <w:right w:val="nil"/>
            </w:tcBorders>
            <w:shd w:val="clear" w:color="auto" w:fill="auto"/>
            <w:noWrap/>
            <w:vAlign w:val="bottom"/>
            <w:hideMark/>
          </w:tcPr>
          <w:p w14:paraId="12AA217E" w14:textId="40282184"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3</w:t>
            </w:r>
          </w:p>
        </w:tc>
        <w:tc>
          <w:tcPr>
            <w:tcW w:w="860" w:type="dxa"/>
            <w:tcBorders>
              <w:top w:val="single" w:sz="4" w:space="0" w:color="auto"/>
              <w:left w:val="nil"/>
              <w:bottom w:val="nil"/>
              <w:right w:val="nil"/>
            </w:tcBorders>
            <w:shd w:val="clear" w:color="auto" w:fill="auto"/>
            <w:noWrap/>
            <w:vAlign w:val="bottom"/>
            <w:hideMark/>
          </w:tcPr>
          <w:p w14:paraId="23D38763" w14:textId="6A3B40E7"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4</w:t>
            </w:r>
          </w:p>
        </w:tc>
        <w:tc>
          <w:tcPr>
            <w:tcW w:w="880" w:type="dxa"/>
            <w:tcBorders>
              <w:top w:val="single" w:sz="4" w:space="0" w:color="auto"/>
              <w:left w:val="nil"/>
              <w:bottom w:val="nil"/>
              <w:right w:val="nil"/>
            </w:tcBorders>
            <w:shd w:val="clear" w:color="auto" w:fill="auto"/>
            <w:noWrap/>
            <w:vAlign w:val="bottom"/>
            <w:hideMark/>
          </w:tcPr>
          <w:p w14:paraId="04FDA5AE" w14:textId="709A7F55"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6</w:t>
            </w:r>
          </w:p>
        </w:tc>
        <w:tc>
          <w:tcPr>
            <w:tcW w:w="1200" w:type="dxa"/>
            <w:tcBorders>
              <w:top w:val="single" w:sz="4" w:space="0" w:color="auto"/>
              <w:left w:val="nil"/>
              <w:bottom w:val="nil"/>
              <w:right w:val="nil"/>
            </w:tcBorders>
            <w:shd w:val="clear" w:color="auto" w:fill="auto"/>
            <w:noWrap/>
            <w:vAlign w:val="bottom"/>
            <w:hideMark/>
          </w:tcPr>
          <w:p w14:paraId="11C9A6FB" w14:textId="7D047457"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7</w:t>
            </w:r>
          </w:p>
        </w:tc>
        <w:tc>
          <w:tcPr>
            <w:tcW w:w="900" w:type="dxa"/>
            <w:tcBorders>
              <w:top w:val="single" w:sz="4" w:space="0" w:color="auto"/>
              <w:left w:val="nil"/>
              <w:bottom w:val="nil"/>
              <w:right w:val="nil"/>
            </w:tcBorders>
            <w:shd w:val="clear" w:color="auto" w:fill="auto"/>
            <w:noWrap/>
            <w:vAlign w:val="bottom"/>
            <w:hideMark/>
          </w:tcPr>
          <w:p w14:paraId="0017A974" w14:textId="5073206D"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8</w:t>
            </w:r>
          </w:p>
        </w:tc>
        <w:tc>
          <w:tcPr>
            <w:tcW w:w="1540" w:type="dxa"/>
            <w:tcBorders>
              <w:top w:val="single" w:sz="4" w:space="0" w:color="auto"/>
              <w:left w:val="nil"/>
              <w:bottom w:val="nil"/>
              <w:right w:val="nil"/>
            </w:tcBorders>
            <w:shd w:val="clear" w:color="auto" w:fill="auto"/>
            <w:noWrap/>
            <w:vAlign w:val="bottom"/>
            <w:hideMark/>
          </w:tcPr>
          <w:p w14:paraId="26CC7872" w14:textId="5450DADD"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9</w:t>
            </w:r>
          </w:p>
        </w:tc>
        <w:tc>
          <w:tcPr>
            <w:tcW w:w="1020" w:type="dxa"/>
            <w:tcBorders>
              <w:top w:val="single" w:sz="4" w:space="0" w:color="auto"/>
              <w:left w:val="nil"/>
              <w:bottom w:val="nil"/>
              <w:right w:val="nil"/>
            </w:tcBorders>
            <w:shd w:val="clear" w:color="auto" w:fill="auto"/>
            <w:noWrap/>
            <w:vAlign w:val="bottom"/>
            <w:hideMark/>
          </w:tcPr>
          <w:p w14:paraId="0D3574D3" w14:textId="5B9F75A7"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10</w:t>
            </w:r>
          </w:p>
        </w:tc>
        <w:tc>
          <w:tcPr>
            <w:tcW w:w="1180" w:type="dxa"/>
            <w:tcBorders>
              <w:top w:val="single" w:sz="4" w:space="0" w:color="auto"/>
              <w:left w:val="nil"/>
              <w:bottom w:val="nil"/>
              <w:right w:val="nil"/>
            </w:tcBorders>
            <w:shd w:val="clear" w:color="auto" w:fill="auto"/>
            <w:noWrap/>
            <w:vAlign w:val="bottom"/>
            <w:hideMark/>
          </w:tcPr>
          <w:p w14:paraId="56CF87BC" w14:textId="0E00EF85"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11</w:t>
            </w:r>
          </w:p>
        </w:tc>
        <w:tc>
          <w:tcPr>
            <w:tcW w:w="1180" w:type="dxa"/>
            <w:tcBorders>
              <w:top w:val="single" w:sz="4" w:space="0" w:color="auto"/>
              <w:left w:val="nil"/>
              <w:bottom w:val="nil"/>
              <w:right w:val="nil"/>
            </w:tcBorders>
            <w:shd w:val="clear" w:color="auto" w:fill="auto"/>
            <w:noWrap/>
            <w:vAlign w:val="bottom"/>
            <w:hideMark/>
          </w:tcPr>
          <w:p w14:paraId="72972344" w14:textId="4E879C81"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15</w:t>
            </w:r>
          </w:p>
        </w:tc>
        <w:tc>
          <w:tcPr>
            <w:tcW w:w="900" w:type="dxa"/>
            <w:tcBorders>
              <w:top w:val="single" w:sz="4" w:space="0" w:color="auto"/>
              <w:left w:val="nil"/>
              <w:bottom w:val="nil"/>
              <w:right w:val="nil"/>
            </w:tcBorders>
            <w:shd w:val="clear" w:color="auto" w:fill="auto"/>
            <w:noWrap/>
            <w:vAlign w:val="bottom"/>
            <w:hideMark/>
          </w:tcPr>
          <w:p w14:paraId="2B30DE17" w14:textId="66C80345"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16</w:t>
            </w:r>
          </w:p>
        </w:tc>
      </w:tr>
      <w:tr w:rsidR="00F74D89" w:rsidRPr="009C6D5F" w14:paraId="7D6F8582" w14:textId="77777777" w:rsidTr="002C6F50">
        <w:trPr>
          <w:trHeight w:val="1005"/>
        </w:trPr>
        <w:tc>
          <w:tcPr>
            <w:tcW w:w="2960" w:type="dxa"/>
            <w:vMerge/>
            <w:tcBorders>
              <w:top w:val="single" w:sz="4" w:space="0" w:color="auto"/>
              <w:left w:val="nil"/>
              <w:bottom w:val="single" w:sz="4" w:space="0" w:color="000000"/>
              <w:right w:val="nil"/>
            </w:tcBorders>
            <w:vAlign w:val="center"/>
            <w:hideMark/>
          </w:tcPr>
          <w:p w14:paraId="7A80BA5A" w14:textId="77777777" w:rsidR="00F74D89" w:rsidRPr="009C6D5F" w:rsidRDefault="00F74D89" w:rsidP="00F74D89">
            <w:pPr>
              <w:spacing w:after="0" w:line="240" w:lineRule="auto"/>
              <w:rPr>
                <w:rFonts w:ascii="Arial" w:eastAsia="Times New Roman" w:hAnsi="Arial" w:cs="Arial"/>
                <w:sz w:val="16"/>
                <w:szCs w:val="16"/>
              </w:rPr>
            </w:pPr>
          </w:p>
        </w:tc>
        <w:tc>
          <w:tcPr>
            <w:tcW w:w="940" w:type="dxa"/>
            <w:tcBorders>
              <w:top w:val="single" w:sz="4" w:space="0" w:color="auto"/>
              <w:left w:val="nil"/>
              <w:bottom w:val="nil"/>
              <w:right w:val="nil"/>
            </w:tcBorders>
            <w:shd w:val="clear" w:color="auto" w:fill="auto"/>
            <w:vAlign w:val="center"/>
            <w:hideMark/>
          </w:tcPr>
          <w:p w14:paraId="3779F892" w14:textId="7ED21761"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Ústredné vlády alebo centrálne banky</w:t>
            </w:r>
          </w:p>
        </w:tc>
        <w:tc>
          <w:tcPr>
            <w:tcW w:w="1020" w:type="dxa"/>
            <w:tcBorders>
              <w:top w:val="single" w:sz="4" w:space="0" w:color="auto"/>
              <w:left w:val="nil"/>
              <w:bottom w:val="nil"/>
              <w:right w:val="nil"/>
            </w:tcBorders>
            <w:shd w:val="clear" w:color="auto" w:fill="auto"/>
            <w:vAlign w:val="center"/>
            <w:hideMark/>
          </w:tcPr>
          <w:p w14:paraId="5D41C5D7" w14:textId="619D1236"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Regionálne vlády alebo miestne orgány</w:t>
            </w:r>
          </w:p>
        </w:tc>
        <w:tc>
          <w:tcPr>
            <w:tcW w:w="900" w:type="dxa"/>
            <w:tcBorders>
              <w:top w:val="single" w:sz="4" w:space="0" w:color="auto"/>
              <w:left w:val="nil"/>
              <w:bottom w:val="nil"/>
              <w:right w:val="nil"/>
            </w:tcBorders>
            <w:shd w:val="clear" w:color="auto" w:fill="auto"/>
            <w:vAlign w:val="center"/>
            <w:hideMark/>
          </w:tcPr>
          <w:p w14:paraId="3F4FA9EA" w14:textId="163CA7C2"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Subjekty verejného sektora</w:t>
            </w:r>
          </w:p>
        </w:tc>
        <w:tc>
          <w:tcPr>
            <w:tcW w:w="860" w:type="dxa"/>
            <w:tcBorders>
              <w:top w:val="single" w:sz="4" w:space="0" w:color="auto"/>
              <w:left w:val="nil"/>
              <w:bottom w:val="nil"/>
              <w:right w:val="nil"/>
            </w:tcBorders>
            <w:shd w:val="clear" w:color="auto" w:fill="auto"/>
            <w:vAlign w:val="center"/>
            <w:hideMark/>
          </w:tcPr>
          <w:p w14:paraId="6E36438E" w14:textId="01697F1F" w:rsidR="00F74D89" w:rsidRPr="009C6D5F" w:rsidRDefault="00F74D89" w:rsidP="00F74D89">
            <w:pPr>
              <w:spacing w:after="0" w:line="240" w:lineRule="auto"/>
              <w:jc w:val="center"/>
              <w:rPr>
                <w:rFonts w:ascii="Arial" w:eastAsia="Times New Roman" w:hAnsi="Arial" w:cs="Arial"/>
                <w:sz w:val="16"/>
                <w:szCs w:val="16"/>
              </w:rPr>
            </w:pPr>
            <w:proofErr w:type="spellStart"/>
            <w:r w:rsidRPr="009C6D5F">
              <w:rPr>
                <w:rFonts w:ascii="Arial" w:eastAsia="Times New Roman" w:hAnsi="Arial" w:cs="Arial"/>
                <w:sz w:val="16"/>
                <w:szCs w:val="16"/>
              </w:rPr>
              <w:t>Multilater</w:t>
            </w:r>
            <w:proofErr w:type="spellEnd"/>
            <w:r w:rsidRPr="009C6D5F">
              <w:rPr>
                <w:rFonts w:ascii="Arial" w:eastAsia="Times New Roman" w:hAnsi="Arial" w:cs="Arial"/>
                <w:sz w:val="16"/>
                <w:szCs w:val="16"/>
              </w:rPr>
              <w:t>. rozvojové banky</w:t>
            </w:r>
          </w:p>
        </w:tc>
        <w:tc>
          <w:tcPr>
            <w:tcW w:w="880" w:type="dxa"/>
            <w:tcBorders>
              <w:top w:val="single" w:sz="4" w:space="0" w:color="auto"/>
              <w:left w:val="nil"/>
              <w:bottom w:val="nil"/>
              <w:right w:val="nil"/>
            </w:tcBorders>
            <w:shd w:val="clear" w:color="auto" w:fill="auto"/>
            <w:vAlign w:val="center"/>
            <w:hideMark/>
          </w:tcPr>
          <w:p w14:paraId="32CA9EB7" w14:textId="40F30C4B"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Inštitúcie</w:t>
            </w:r>
          </w:p>
        </w:tc>
        <w:tc>
          <w:tcPr>
            <w:tcW w:w="1200" w:type="dxa"/>
            <w:tcBorders>
              <w:top w:val="single" w:sz="4" w:space="0" w:color="auto"/>
              <w:left w:val="nil"/>
              <w:bottom w:val="nil"/>
              <w:right w:val="nil"/>
            </w:tcBorders>
            <w:shd w:val="clear" w:color="auto" w:fill="auto"/>
            <w:vAlign w:val="center"/>
            <w:hideMark/>
          </w:tcPr>
          <w:p w14:paraId="22379D56" w14:textId="6907A35E"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Podnikateľské subjekty</w:t>
            </w:r>
          </w:p>
        </w:tc>
        <w:tc>
          <w:tcPr>
            <w:tcW w:w="900" w:type="dxa"/>
            <w:tcBorders>
              <w:top w:val="single" w:sz="4" w:space="0" w:color="auto"/>
              <w:left w:val="nil"/>
              <w:bottom w:val="nil"/>
              <w:right w:val="nil"/>
            </w:tcBorders>
            <w:shd w:val="clear" w:color="auto" w:fill="auto"/>
            <w:vAlign w:val="center"/>
            <w:hideMark/>
          </w:tcPr>
          <w:p w14:paraId="4A9BB153" w14:textId="300CCD0F" w:rsidR="00F74D89" w:rsidRPr="009C6D5F" w:rsidRDefault="00F74D89" w:rsidP="00F74D89">
            <w:pPr>
              <w:spacing w:after="0" w:line="240" w:lineRule="auto"/>
              <w:jc w:val="center"/>
              <w:rPr>
                <w:rFonts w:ascii="Arial" w:eastAsia="Times New Roman" w:hAnsi="Arial" w:cs="Arial"/>
                <w:sz w:val="16"/>
                <w:szCs w:val="16"/>
              </w:rPr>
            </w:pPr>
            <w:proofErr w:type="spellStart"/>
            <w:r w:rsidRPr="009C6D5F">
              <w:rPr>
                <w:rFonts w:ascii="Arial" w:eastAsia="Times New Roman" w:hAnsi="Arial" w:cs="Arial"/>
                <w:sz w:val="16"/>
                <w:szCs w:val="16"/>
              </w:rPr>
              <w:t>Retailové</w:t>
            </w:r>
            <w:proofErr w:type="spellEnd"/>
            <w:r w:rsidRPr="009C6D5F">
              <w:rPr>
                <w:rFonts w:ascii="Arial" w:eastAsia="Times New Roman" w:hAnsi="Arial" w:cs="Arial"/>
                <w:sz w:val="16"/>
                <w:szCs w:val="16"/>
              </w:rPr>
              <w:t xml:space="preserve"> expozície</w:t>
            </w:r>
          </w:p>
        </w:tc>
        <w:tc>
          <w:tcPr>
            <w:tcW w:w="1540" w:type="dxa"/>
            <w:tcBorders>
              <w:top w:val="single" w:sz="4" w:space="0" w:color="auto"/>
              <w:left w:val="nil"/>
              <w:bottom w:val="nil"/>
              <w:right w:val="nil"/>
            </w:tcBorders>
            <w:shd w:val="clear" w:color="auto" w:fill="auto"/>
            <w:vAlign w:val="center"/>
            <w:hideMark/>
          </w:tcPr>
          <w:p w14:paraId="51EEA920" w14:textId="4C0C4570"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Expozície zabezpečené hypotékami na nehnuteľný majetok</w:t>
            </w:r>
          </w:p>
        </w:tc>
        <w:tc>
          <w:tcPr>
            <w:tcW w:w="1020" w:type="dxa"/>
            <w:tcBorders>
              <w:top w:val="single" w:sz="4" w:space="0" w:color="auto"/>
              <w:left w:val="nil"/>
              <w:bottom w:val="nil"/>
              <w:right w:val="nil"/>
            </w:tcBorders>
            <w:shd w:val="clear" w:color="auto" w:fill="auto"/>
            <w:vAlign w:val="center"/>
            <w:hideMark/>
          </w:tcPr>
          <w:p w14:paraId="4BDB00A6" w14:textId="18A12972"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Expozície v stave zlyhania</w:t>
            </w:r>
          </w:p>
        </w:tc>
        <w:tc>
          <w:tcPr>
            <w:tcW w:w="1180" w:type="dxa"/>
            <w:tcBorders>
              <w:top w:val="single" w:sz="4" w:space="0" w:color="auto"/>
              <w:left w:val="nil"/>
              <w:bottom w:val="nil"/>
              <w:right w:val="nil"/>
            </w:tcBorders>
            <w:shd w:val="clear" w:color="auto" w:fill="auto"/>
            <w:vAlign w:val="center"/>
            <w:hideMark/>
          </w:tcPr>
          <w:p w14:paraId="2BB4B9D8" w14:textId="49B2932C"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Expozície s osobitne vysokým stupňom rizika</w:t>
            </w:r>
          </w:p>
        </w:tc>
        <w:tc>
          <w:tcPr>
            <w:tcW w:w="1180" w:type="dxa"/>
            <w:tcBorders>
              <w:top w:val="single" w:sz="4" w:space="0" w:color="auto"/>
              <w:left w:val="nil"/>
              <w:bottom w:val="nil"/>
              <w:right w:val="nil"/>
            </w:tcBorders>
            <w:shd w:val="clear" w:color="auto" w:fill="auto"/>
            <w:vAlign w:val="center"/>
            <w:hideMark/>
          </w:tcPr>
          <w:p w14:paraId="4F4A6FA1" w14:textId="350F64B4"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Kapitálové expozície</w:t>
            </w:r>
          </w:p>
        </w:tc>
        <w:tc>
          <w:tcPr>
            <w:tcW w:w="900" w:type="dxa"/>
            <w:tcBorders>
              <w:top w:val="single" w:sz="4" w:space="0" w:color="auto"/>
              <w:left w:val="nil"/>
              <w:bottom w:val="nil"/>
              <w:right w:val="nil"/>
            </w:tcBorders>
            <w:shd w:val="clear" w:color="auto" w:fill="auto"/>
            <w:vAlign w:val="center"/>
            <w:hideMark/>
          </w:tcPr>
          <w:p w14:paraId="75A95D5C" w14:textId="03AC1567"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Iné položky</w:t>
            </w:r>
          </w:p>
        </w:tc>
      </w:tr>
      <w:tr w:rsidR="00FD6C1D" w:rsidRPr="009C6D5F" w14:paraId="4EA416B8" w14:textId="77777777" w:rsidTr="007C663B">
        <w:trPr>
          <w:trHeight w:val="252"/>
        </w:trPr>
        <w:tc>
          <w:tcPr>
            <w:tcW w:w="2960" w:type="dxa"/>
            <w:tcBorders>
              <w:top w:val="nil"/>
              <w:left w:val="nil"/>
              <w:bottom w:val="nil"/>
              <w:right w:val="nil"/>
            </w:tcBorders>
            <w:shd w:val="clear" w:color="auto" w:fill="auto"/>
            <w:vAlign w:val="center"/>
            <w:hideMark/>
          </w:tcPr>
          <w:p w14:paraId="3A61CC6E" w14:textId="3A6CF5BA"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Poľnohospodárstvo, lesníctvo a rybolov</w:t>
            </w:r>
          </w:p>
        </w:tc>
        <w:tc>
          <w:tcPr>
            <w:tcW w:w="940" w:type="dxa"/>
            <w:tcBorders>
              <w:top w:val="single" w:sz="4" w:space="0" w:color="auto"/>
              <w:left w:val="nil"/>
              <w:bottom w:val="nil"/>
              <w:right w:val="nil"/>
            </w:tcBorders>
            <w:shd w:val="clear" w:color="auto" w:fill="auto"/>
            <w:noWrap/>
            <w:hideMark/>
          </w:tcPr>
          <w:p w14:paraId="54EC69B5" w14:textId="12DC64F1" w:rsidR="00FD6C1D" w:rsidRPr="009C6D5F" w:rsidRDefault="00FD6C1D" w:rsidP="00FD6C1D">
            <w:pPr>
              <w:spacing w:after="0"/>
              <w:jc w:val="right"/>
              <w:rPr>
                <w:color w:val="000000" w:themeColor="text1"/>
              </w:rPr>
            </w:pPr>
            <w:r w:rsidRPr="005912C9">
              <w:t>427</w:t>
            </w:r>
          </w:p>
        </w:tc>
        <w:tc>
          <w:tcPr>
            <w:tcW w:w="1020" w:type="dxa"/>
            <w:tcBorders>
              <w:top w:val="single" w:sz="4" w:space="0" w:color="auto"/>
              <w:left w:val="nil"/>
              <w:bottom w:val="nil"/>
              <w:right w:val="nil"/>
            </w:tcBorders>
            <w:shd w:val="clear" w:color="auto" w:fill="auto"/>
            <w:noWrap/>
            <w:hideMark/>
          </w:tcPr>
          <w:p w14:paraId="0CA0251D" w14:textId="5E07142F" w:rsidR="00FD6C1D" w:rsidRPr="009C6D5F" w:rsidRDefault="00FD6C1D" w:rsidP="00FD6C1D">
            <w:pPr>
              <w:spacing w:after="0"/>
              <w:jc w:val="right"/>
              <w:rPr>
                <w:color w:val="000000" w:themeColor="text1"/>
              </w:rPr>
            </w:pPr>
            <w:r w:rsidRPr="005912C9">
              <w:t>0</w:t>
            </w:r>
          </w:p>
        </w:tc>
        <w:tc>
          <w:tcPr>
            <w:tcW w:w="900" w:type="dxa"/>
            <w:tcBorders>
              <w:top w:val="single" w:sz="4" w:space="0" w:color="auto"/>
              <w:left w:val="nil"/>
              <w:bottom w:val="nil"/>
              <w:right w:val="nil"/>
            </w:tcBorders>
            <w:shd w:val="clear" w:color="auto" w:fill="auto"/>
            <w:noWrap/>
            <w:hideMark/>
          </w:tcPr>
          <w:p w14:paraId="76BC93A3" w14:textId="61AAE71D" w:rsidR="00FD6C1D" w:rsidRPr="009C6D5F" w:rsidRDefault="00FD6C1D" w:rsidP="00FD6C1D">
            <w:pPr>
              <w:spacing w:after="0"/>
              <w:jc w:val="right"/>
              <w:rPr>
                <w:color w:val="000000" w:themeColor="text1"/>
              </w:rPr>
            </w:pPr>
            <w:r w:rsidRPr="005912C9">
              <w:t>0</w:t>
            </w:r>
          </w:p>
        </w:tc>
        <w:tc>
          <w:tcPr>
            <w:tcW w:w="860" w:type="dxa"/>
            <w:tcBorders>
              <w:top w:val="single" w:sz="4" w:space="0" w:color="auto"/>
              <w:left w:val="nil"/>
              <w:bottom w:val="nil"/>
              <w:right w:val="nil"/>
            </w:tcBorders>
            <w:shd w:val="clear" w:color="auto" w:fill="auto"/>
            <w:noWrap/>
            <w:hideMark/>
          </w:tcPr>
          <w:p w14:paraId="3B78C6B5" w14:textId="3512FFEF" w:rsidR="00FD6C1D" w:rsidRPr="009C6D5F" w:rsidRDefault="00FD6C1D" w:rsidP="00FD6C1D">
            <w:pPr>
              <w:spacing w:after="0"/>
              <w:jc w:val="right"/>
              <w:rPr>
                <w:color w:val="000000" w:themeColor="text1"/>
              </w:rPr>
            </w:pPr>
            <w:r w:rsidRPr="005912C9">
              <w:t>22</w:t>
            </w:r>
          </w:p>
        </w:tc>
        <w:tc>
          <w:tcPr>
            <w:tcW w:w="880" w:type="dxa"/>
            <w:tcBorders>
              <w:top w:val="single" w:sz="4" w:space="0" w:color="auto"/>
              <w:left w:val="nil"/>
              <w:bottom w:val="nil"/>
              <w:right w:val="nil"/>
            </w:tcBorders>
            <w:shd w:val="clear" w:color="auto" w:fill="auto"/>
            <w:noWrap/>
            <w:hideMark/>
          </w:tcPr>
          <w:p w14:paraId="236BD636" w14:textId="24BC6CC8" w:rsidR="00FD6C1D" w:rsidRPr="009C6D5F" w:rsidRDefault="00FD6C1D" w:rsidP="00FD6C1D">
            <w:pPr>
              <w:spacing w:after="0"/>
              <w:jc w:val="right"/>
              <w:rPr>
                <w:color w:val="000000" w:themeColor="text1"/>
              </w:rPr>
            </w:pPr>
            <w:r w:rsidRPr="005912C9">
              <w:t>0</w:t>
            </w:r>
          </w:p>
        </w:tc>
        <w:tc>
          <w:tcPr>
            <w:tcW w:w="1200" w:type="dxa"/>
            <w:tcBorders>
              <w:top w:val="single" w:sz="4" w:space="0" w:color="auto"/>
              <w:left w:val="nil"/>
              <w:bottom w:val="nil"/>
              <w:right w:val="nil"/>
            </w:tcBorders>
            <w:shd w:val="clear" w:color="auto" w:fill="auto"/>
            <w:noWrap/>
            <w:hideMark/>
          </w:tcPr>
          <w:p w14:paraId="7B05A1E4" w14:textId="59ACD0A8" w:rsidR="00FD6C1D" w:rsidRPr="009C6D5F" w:rsidRDefault="00FD6C1D" w:rsidP="00FD6C1D">
            <w:pPr>
              <w:spacing w:after="0"/>
              <w:jc w:val="right"/>
              <w:rPr>
                <w:color w:val="000000" w:themeColor="text1"/>
              </w:rPr>
            </w:pPr>
            <w:r w:rsidRPr="005912C9">
              <w:t>17 493</w:t>
            </w:r>
          </w:p>
        </w:tc>
        <w:tc>
          <w:tcPr>
            <w:tcW w:w="900" w:type="dxa"/>
            <w:tcBorders>
              <w:top w:val="single" w:sz="4" w:space="0" w:color="auto"/>
              <w:left w:val="nil"/>
              <w:bottom w:val="nil"/>
              <w:right w:val="nil"/>
            </w:tcBorders>
            <w:shd w:val="clear" w:color="auto" w:fill="auto"/>
            <w:noWrap/>
            <w:hideMark/>
          </w:tcPr>
          <w:p w14:paraId="2220A496" w14:textId="4CB42894" w:rsidR="00FD6C1D" w:rsidRPr="009C6D5F" w:rsidRDefault="00FD6C1D" w:rsidP="00FD6C1D">
            <w:pPr>
              <w:spacing w:after="0"/>
              <w:jc w:val="right"/>
              <w:rPr>
                <w:color w:val="000000" w:themeColor="text1"/>
              </w:rPr>
            </w:pPr>
            <w:r w:rsidRPr="005912C9">
              <w:t>13 828</w:t>
            </w:r>
          </w:p>
        </w:tc>
        <w:tc>
          <w:tcPr>
            <w:tcW w:w="1540" w:type="dxa"/>
            <w:tcBorders>
              <w:top w:val="single" w:sz="4" w:space="0" w:color="auto"/>
              <w:left w:val="nil"/>
              <w:bottom w:val="nil"/>
              <w:right w:val="nil"/>
            </w:tcBorders>
            <w:shd w:val="clear" w:color="auto" w:fill="auto"/>
            <w:noWrap/>
            <w:hideMark/>
          </w:tcPr>
          <w:p w14:paraId="5956D29A" w14:textId="3C984258" w:rsidR="00FD6C1D" w:rsidRPr="009C6D5F" w:rsidRDefault="00FD6C1D" w:rsidP="00FD6C1D">
            <w:pPr>
              <w:spacing w:after="0"/>
              <w:jc w:val="right"/>
              <w:rPr>
                <w:color w:val="000000" w:themeColor="text1"/>
              </w:rPr>
            </w:pPr>
            <w:r w:rsidRPr="005912C9">
              <w:t>4 232</w:t>
            </w:r>
          </w:p>
        </w:tc>
        <w:tc>
          <w:tcPr>
            <w:tcW w:w="1020" w:type="dxa"/>
            <w:tcBorders>
              <w:top w:val="single" w:sz="4" w:space="0" w:color="auto"/>
              <w:left w:val="nil"/>
              <w:bottom w:val="nil"/>
              <w:right w:val="nil"/>
            </w:tcBorders>
            <w:shd w:val="clear" w:color="auto" w:fill="auto"/>
            <w:noWrap/>
            <w:hideMark/>
          </w:tcPr>
          <w:p w14:paraId="72DA3C0D" w14:textId="09FAFC5C" w:rsidR="00FD6C1D" w:rsidRPr="009C6D5F" w:rsidRDefault="00FD6C1D" w:rsidP="00FD6C1D">
            <w:pPr>
              <w:spacing w:after="0"/>
              <w:jc w:val="right"/>
              <w:rPr>
                <w:color w:val="000000" w:themeColor="text1"/>
              </w:rPr>
            </w:pPr>
            <w:r w:rsidRPr="005912C9">
              <w:t>1 107</w:t>
            </w:r>
          </w:p>
        </w:tc>
        <w:tc>
          <w:tcPr>
            <w:tcW w:w="1180" w:type="dxa"/>
            <w:tcBorders>
              <w:top w:val="single" w:sz="4" w:space="0" w:color="auto"/>
              <w:left w:val="nil"/>
              <w:bottom w:val="nil"/>
              <w:right w:val="nil"/>
            </w:tcBorders>
            <w:shd w:val="clear" w:color="auto" w:fill="auto"/>
            <w:noWrap/>
            <w:hideMark/>
          </w:tcPr>
          <w:p w14:paraId="393EC452" w14:textId="086EEFF0" w:rsidR="00FD6C1D" w:rsidRPr="009C6D5F" w:rsidRDefault="00FD6C1D" w:rsidP="00FD6C1D">
            <w:pPr>
              <w:spacing w:after="0"/>
              <w:jc w:val="right"/>
              <w:rPr>
                <w:color w:val="000000" w:themeColor="text1"/>
              </w:rPr>
            </w:pPr>
            <w:r w:rsidRPr="005912C9">
              <w:t>0</w:t>
            </w:r>
          </w:p>
        </w:tc>
        <w:tc>
          <w:tcPr>
            <w:tcW w:w="1180" w:type="dxa"/>
            <w:tcBorders>
              <w:top w:val="single" w:sz="4" w:space="0" w:color="auto"/>
              <w:left w:val="nil"/>
              <w:bottom w:val="nil"/>
              <w:right w:val="nil"/>
            </w:tcBorders>
            <w:shd w:val="clear" w:color="auto" w:fill="auto"/>
            <w:noWrap/>
            <w:hideMark/>
          </w:tcPr>
          <w:p w14:paraId="37FE5289" w14:textId="0B1E3A20" w:rsidR="00FD6C1D" w:rsidRPr="009C6D5F" w:rsidRDefault="00FD6C1D" w:rsidP="00FD6C1D">
            <w:pPr>
              <w:spacing w:after="0"/>
              <w:jc w:val="right"/>
              <w:rPr>
                <w:color w:val="000000" w:themeColor="text1"/>
              </w:rPr>
            </w:pPr>
            <w:r w:rsidRPr="005912C9">
              <w:t>0</w:t>
            </w:r>
          </w:p>
        </w:tc>
        <w:tc>
          <w:tcPr>
            <w:tcW w:w="900" w:type="dxa"/>
            <w:tcBorders>
              <w:top w:val="single" w:sz="4" w:space="0" w:color="auto"/>
              <w:left w:val="nil"/>
              <w:bottom w:val="nil"/>
              <w:right w:val="nil"/>
            </w:tcBorders>
            <w:shd w:val="clear" w:color="auto" w:fill="auto"/>
            <w:noWrap/>
            <w:hideMark/>
          </w:tcPr>
          <w:p w14:paraId="32B115F5" w14:textId="592FB6FF" w:rsidR="00FD6C1D" w:rsidRPr="009C6D5F" w:rsidRDefault="00FD6C1D" w:rsidP="00FD6C1D">
            <w:pPr>
              <w:spacing w:after="0"/>
              <w:jc w:val="right"/>
              <w:rPr>
                <w:color w:val="000000" w:themeColor="text1"/>
              </w:rPr>
            </w:pPr>
            <w:r w:rsidRPr="005912C9">
              <w:t>0</w:t>
            </w:r>
          </w:p>
        </w:tc>
      </w:tr>
      <w:tr w:rsidR="00FD6C1D" w:rsidRPr="009C6D5F" w14:paraId="080B1A43" w14:textId="77777777" w:rsidTr="007C663B">
        <w:trPr>
          <w:trHeight w:val="252"/>
        </w:trPr>
        <w:tc>
          <w:tcPr>
            <w:tcW w:w="2960" w:type="dxa"/>
            <w:tcBorders>
              <w:top w:val="nil"/>
              <w:left w:val="nil"/>
              <w:bottom w:val="nil"/>
              <w:right w:val="nil"/>
            </w:tcBorders>
            <w:shd w:val="clear" w:color="auto" w:fill="auto"/>
            <w:vAlign w:val="center"/>
            <w:hideMark/>
          </w:tcPr>
          <w:p w14:paraId="08086BF6" w14:textId="64B5D04F"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Ťažba a dobývanie</w:t>
            </w:r>
          </w:p>
        </w:tc>
        <w:tc>
          <w:tcPr>
            <w:tcW w:w="940" w:type="dxa"/>
            <w:tcBorders>
              <w:top w:val="nil"/>
              <w:left w:val="nil"/>
              <w:bottom w:val="nil"/>
              <w:right w:val="nil"/>
            </w:tcBorders>
            <w:shd w:val="clear" w:color="auto" w:fill="auto"/>
            <w:noWrap/>
            <w:hideMark/>
          </w:tcPr>
          <w:p w14:paraId="46226B0C" w14:textId="1EBCA382"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31718B6B" w14:textId="405339BC"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6BFE5C76" w14:textId="099A7BC5"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182E1DD8" w14:textId="19D800F7" w:rsidR="00FD6C1D" w:rsidRPr="009C6D5F" w:rsidRDefault="00FD6C1D" w:rsidP="00FD6C1D">
            <w:pPr>
              <w:spacing w:after="0"/>
              <w:jc w:val="right"/>
              <w:rPr>
                <w:color w:val="000000" w:themeColor="text1"/>
              </w:rPr>
            </w:pPr>
            <w:r w:rsidRPr="005912C9">
              <w:t>0</w:t>
            </w:r>
          </w:p>
        </w:tc>
        <w:tc>
          <w:tcPr>
            <w:tcW w:w="880" w:type="dxa"/>
            <w:tcBorders>
              <w:top w:val="nil"/>
              <w:left w:val="nil"/>
              <w:bottom w:val="nil"/>
              <w:right w:val="nil"/>
            </w:tcBorders>
            <w:shd w:val="clear" w:color="auto" w:fill="auto"/>
            <w:noWrap/>
            <w:hideMark/>
          </w:tcPr>
          <w:p w14:paraId="3C3BAE6D" w14:textId="204239CA"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589F65F6" w14:textId="1CD83E20" w:rsidR="00FD6C1D" w:rsidRPr="009C6D5F" w:rsidRDefault="00FD6C1D" w:rsidP="00FD6C1D">
            <w:pPr>
              <w:spacing w:after="0"/>
              <w:jc w:val="right"/>
              <w:rPr>
                <w:color w:val="000000" w:themeColor="text1"/>
              </w:rPr>
            </w:pPr>
            <w:r w:rsidRPr="005912C9">
              <w:t>4 144</w:t>
            </w:r>
          </w:p>
        </w:tc>
        <w:tc>
          <w:tcPr>
            <w:tcW w:w="900" w:type="dxa"/>
            <w:tcBorders>
              <w:top w:val="nil"/>
              <w:left w:val="nil"/>
              <w:bottom w:val="nil"/>
              <w:right w:val="nil"/>
            </w:tcBorders>
            <w:shd w:val="clear" w:color="auto" w:fill="auto"/>
            <w:noWrap/>
            <w:hideMark/>
          </w:tcPr>
          <w:p w14:paraId="76176A73" w14:textId="1AD3DA14" w:rsidR="00FD6C1D" w:rsidRPr="009C6D5F" w:rsidRDefault="00FD6C1D" w:rsidP="00FD6C1D">
            <w:pPr>
              <w:spacing w:after="0"/>
              <w:jc w:val="right"/>
              <w:rPr>
                <w:color w:val="000000" w:themeColor="text1"/>
              </w:rPr>
            </w:pPr>
            <w:r w:rsidRPr="005912C9">
              <w:t>0</w:t>
            </w:r>
          </w:p>
        </w:tc>
        <w:tc>
          <w:tcPr>
            <w:tcW w:w="1540" w:type="dxa"/>
            <w:tcBorders>
              <w:top w:val="nil"/>
              <w:left w:val="nil"/>
              <w:bottom w:val="nil"/>
              <w:right w:val="nil"/>
            </w:tcBorders>
            <w:shd w:val="clear" w:color="auto" w:fill="auto"/>
            <w:noWrap/>
            <w:hideMark/>
          </w:tcPr>
          <w:p w14:paraId="7B5BC70B" w14:textId="66DB2D4A"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0AEFE836" w14:textId="2B44D0C5"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30AC12CB" w14:textId="37B422AA"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5459D1E8" w14:textId="412B19DF"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14D69B28" w14:textId="7CF54B24" w:rsidR="00FD6C1D" w:rsidRPr="009C6D5F" w:rsidRDefault="00FD6C1D" w:rsidP="00FD6C1D">
            <w:pPr>
              <w:spacing w:after="0"/>
              <w:jc w:val="right"/>
              <w:rPr>
                <w:color w:val="000000" w:themeColor="text1"/>
              </w:rPr>
            </w:pPr>
            <w:r w:rsidRPr="005912C9">
              <w:t>0</w:t>
            </w:r>
          </w:p>
        </w:tc>
      </w:tr>
      <w:tr w:rsidR="00FD6C1D" w:rsidRPr="009C6D5F" w14:paraId="73CE2F6C" w14:textId="77777777" w:rsidTr="007C663B">
        <w:trPr>
          <w:trHeight w:val="252"/>
        </w:trPr>
        <w:tc>
          <w:tcPr>
            <w:tcW w:w="2960" w:type="dxa"/>
            <w:tcBorders>
              <w:top w:val="nil"/>
              <w:left w:val="nil"/>
              <w:bottom w:val="nil"/>
              <w:right w:val="nil"/>
            </w:tcBorders>
            <w:shd w:val="clear" w:color="auto" w:fill="auto"/>
            <w:vAlign w:val="center"/>
            <w:hideMark/>
          </w:tcPr>
          <w:p w14:paraId="2CFB2FD1" w14:textId="19EBB466"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Priemyselná výroba</w:t>
            </w:r>
          </w:p>
        </w:tc>
        <w:tc>
          <w:tcPr>
            <w:tcW w:w="940" w:type="dxa"/>
            <w:tcBorders>
              <w:top w:val="nil"/>
              <w:left w:val="nil"/>
              <w:bottom w:val="nil"/>
              <w:right w:val="nil"/>
            </w:tcBorders>
            <w:shd w:val="clear" w:color="auto" w:fill="auto"/>
            <w:noWrap/>
            <w:hideMark/>
          </w:tcPr>
          <w:p w14:paraId="3B663699" w14:textId="524B977A" w:rsidR="00FD6C1D" w:rsidRPr="009C6D5F" w:rsidRDefault="00FD6C1D" w:rsidP="00FD6C1D">
            <w:pPr>
              <w:spacing w:after="0"/>
              <w:jc w:val="right"/>
              <w:rPr>
                <w:color w:val="000000" w:themeColor="text1"/>
              </w:rPr>
            </w:pPr>
            <w:r w:rsidRPr="005912C9">
              <w:t>2 019</w:t>
            </w:r>
          </w:p>
        </w:tc>
        <w:tc>
          <w:tcPr>
            <w:tcW w:w="1020" w:type="dxa"/>
            <w:tcBorders>
              <w:top w:val="nil"/>
              <w:left w:val="nil"/>
              <w:bottom w:val="nil"/>
              <w:right w:val="nil"/>
            </w:tcBorders>
            <w:shd w:val="clear" w:color="auto" w:fill="auto"/>
            <w:noWrap/>
            <w:hideMark/>
          </w:tcPr>
          <w:p w14:paraId="5B4964F8" w14:textId="297F3CDA"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29B372AF" w14:textId="02FDC9AA"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64436F53" w14:textId="4E97ED00" w:rsidR="00FD6C1D" w:rsidRPr="009C6D5F" w:rsidRDefault="00FD6C1D" w:rsidP="00FD6C1D">
            <w:pPr>
              <w:spacing w:after="0"/>
              <w:jc w:val="right"/>
              <w:rPr>
                <w:color w:val="000000" w:themeColor="text1"/>
              </w:rPr>
            </w:pPr>
            <w:r w:rsidRPr="005912C9">
              <w:t>21</w:t>
            </w:r>
          </w:p>
        </w:tc>
        <w:tc>
          <w:tcPr>
            <w:tcW w:w="880" w:type="dxa"/>
            <w:tcBorders>
              <w:top w:val="nil"/>
              <w:left w:val="nil"/>
              <w:bottom w:val="nil"/>
              <w:right w:val="nil"/>
            </w:tcBorders>
            <w:shd w:val="clear" w:color="auto" w:fill="auto"/>
            <w:noWrap/>
            <w:hideMark/>
          </w:tcPr>
          <w:p w14:paraId="0A12B57F" w14:textId="08364074"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0AC983A9" w14:textId="2EFF3DEE" w:rsidR="00FD6C1D" w:rsidRPr="009C6D5F" w:rsidRDefault="00FD6C1D" w:rsidP="00FD6C1D">
            <w:pPr>
              <w:spacing w:after="0"/>
              <w:jc w:val="right"/>
              <w:rPr>
                <w:color w:val="000000" w:themeColor="text1"/>
              </w:rPr>
            </w:pPr>
            <w:r w:rsidRPr="005912C9">
              <w:t>66 245</w:t>
            </w:r>
          </w:p>
        </w:tc>
        <w:tc>
          <w:tcPr>
            <w:tcW w:w="900" w:type="dxa"/>
            <w:tcBorders>
              <w:top w:val="nil"/>
              <w:left w:val="nil"/>
              <w:bottom w:val="nil"/>
              <w:right w:val="nil"/>
            </w:tcBorders>
            <w:shd w:val="clear" w:color="auto" w:fill="auto"/>
            <w:noWrap/>
            <w:hideMark/>
          </w:tcPr>
          <w:p w14:paraId="6FCC988C" w14:textId="069E0D38" w:rsidR="00FD6C1D" w:rsidRPr="009C6D5F" w:rsidRDefault="00FD6C1D" w:rsidP="00FD6C1D">
            <w:pPr>
              <w:spacing w:after="0"/>
              <w:jc w:val="right"/>
              <w:rPr>
                <w:color w:val="000000" w:themeColor="text1"/>
              </w:rPr>
            </w:pPr>
            <w:r w:rsidRPr="005912C9">
              <w:t>4 906</w:t>
            </w:r>
          </w:p>
        </w:tc>
        <w:tc>
          <w:tcPr>
            <w:tcW w:w="1540" w:type="dxa"/>
            <w:tcBorders>
              <w:top w:val="nil"/>
              <w:left w:val="nil"/>
              <w:bottom w:val="nil"/>
              <w:right w:val="nil"/>
            </w:tcBorders>
            <w:shd w:val="clear" w:color="auto" w:fill="auto"/>
            <w:noWrap/>
            <w:hideMark/>
          </w:tcPr>
          <w:p w14:paraId="17052EDE" w14:textId="2A3B3F95" w:rsidR="00FD6C1D" w:rsidRPr="009C6D5F" w:rsidRDefault="00FD6C1D" w:rsidP="00FD6C1D">
            <w:pPr>
              <w:spacing w:after="0"/>
              <w:jc w:val="right"/>
              <w:rPr>
                <w:color w:val="000000" w:themeColor="text1"/>
              </w:rPr>
            </w:pPr>
            <w:r w:rsidRPr="005912C9">
              <w:t>22 209</w:t>
            </w:r>
          </w:p>
        </w:tc>
        <w:tc>
          <w:tcPr>
            <w:tcW w:w="1020" w:type="dxa"/>
            <w:tcBorders>
              <w:top w:val="nil"/>
              <w:left w:val="nil"/>
              <w:bottom w:val="nil"/>
              <w:right w:val="nil"/>
            </w:tcBorders>
            <w:shd w:val="clear" w:color="auto" w:fill="auto"/>
            <w:noWrap/>
            <w:hideMark/>
          </w:tcPr>
          <w:p w14:paraId="3CE3C5CD" w14:textId="116208D0" w:rsidR="00FD6C1D" w:rsidRPr="009C6D5F" w:rsidRDefault="00FD6C1D" w:rsidP="00FD6C1D">
            <w:pPr>
              <w:spacing w:after="0"/>
              <w:jc w:val="right"/>
              <w:rPr>
                <w:color w:val="000000" w:themeColor="text1"/>
              </w:rPr>
            </w:pPr>
            <w:r w:rsidRPr="005912C9">
              <w:t>3 534</w:t>
            </w:r>
          </w:p>
        </w:tc>
        <w:tc>
          <w:tcPr>
            <w:tcW w:w="1180" w:type="dxa"/>
            <w:tcBorders>
              <w:top w:val="nil"/>
              <w:left w:val="nil"/>
              <w:bottom w:val="nil"/>
              <w:right w:val="nil"/>
            </w:tcBorders>
            <w:shd w:val="clear" w:color="auto" w:fill="auto"/>
            <w:noWrap/>
            <w:hideMark/>
          </w:tcPr>
          <w:p w14:paraId="09282A6F" w14:textId="793270BC"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64F09972" w14:textId="0AAD6ED6"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7D3BA24C" w14:textId="1FCCAFF0" w:rsidR="00FD6C1D" w:rsidRPr="009C6D5F" w:rsidRDefault="00FD6C1D" w:rsidP="00FD6C1D">
            <w:pPr>
              <w:spacing w:after="0"/>
              <w:jc w:val="right"/>
              <w:rPr>
                <w:color w:val="000000" w:themeColor="text1"/>
              </w:rPr>
            </w:pPr>
            <w:r w:rsidRPr="005912C9">
              <w:t>0</w:t>
            </w:r>
          </w:p>
        </w:tc>
      </w:tr>
      <w:tr w:rsidR="00FD6C1D" w:rsidRPr="009C6D5F" w14:paraId="3BFA66FF" w14:textId="77777777" w:rsidTr="007C663B">
        <w:trPr>
          <w:trHeight w:val="465"/>
        </w:trPr>
        <w:tc>
          <w:tcPr>
            <w:tcW w:w="2960" w:type="dxa"/>
            <w:tcBorders>
              <w:top w:val="nil"/>
              <w:left w:val="nil"/>
              <w:bottom w:val="nil"/>
              <w:right w:val="nil"/>
            </w:tcBorders>
            <w:shd w:val="clear" w:color="auto" w:fill="auto"/>
            <w:vAlign w:val="center"/>
            <w:hideMark/>
          </w:tcPr>
          <w:p w14:paraId="47FE3F24" w14:textId="4F144762"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Dodávka elektriny, plynu, pary a studeného vzduchu</w:t>
            </w:r>
          </w:p>
        </w:tc>
        <w:tc>
          <w:tcPr>
            <w:tcW w:w="940" w:type="dxa"/>
            <w:tcBorders>
              <w:top w:val="nil"/>
              <w:left w:val="nil"/>
              <w:bottom w:val="nil"/>
              <w:right w:val="nil"/>
            </w:tcBorders>
            <w:shd w:val="clear" w:color="auto" w:fill="auto"/>
            <w:noWrap/>
            <w:hideMark/>
          </w:tcPr>
          <w:p w14:paraId="7FC91A1F" w14:textId="5DB8B4BE"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60FC137E" w14:textId="5E200199"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4184A8E8" w14:textId="0E55EB78"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1950A7D9" w14:textId="08FB3084" w:rsidR="00FD6C1D" w:rsidRPr="009C6D5F" w:rsidRDefault="00FD6C1D" w:rsidP="00FD6C1D">
            <w:pPr>
              <w:spacing w:after="0"/>
              <w:jc w:val="right"/>
              <w:rPr>
                <w:color w:val="000000" w:themeColor="text1"/>
              </w:rPr>
            </w:pPr>
            <w:r w:rsidRPr="005912C9">
              <w:t>0</w:t>
            </w:r>
          </w:p>
        </w:tc>
        <w:tc>
          <w:tcPr>
            <w:tcW w:w="880" w:type="dxa"/>
            <w:tcBorders>
              <w:top w:val="nil"/>
              <w:left w:val="nil"/>
              <w:bottom w:val="nil"/>
              <w:right w:val="nil"/>
            </w:tcBorders>
            <w:shd w:val="clear" w:color="auto" w:fill="auto"/>
            <w:noWrap/>
            <w:hideMark/>
          </w:tcPr>
          <w:p w14:paraId="4643E1F6" w14:textId="17701129"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354061B3" w14:textId="13DACDA8" w:rsidR="00FD6C1D" w:rsidRPr="009C6D5F" w:rsidRDefault="00FD6C1D" w:rsidP="00FD6C1D">
            <w:pPr>
              <w:spacing w:after="0"/>
              <w:jc w:val="right"/>
              <w:rPr>
                <w:color w:val="000000" w:themeColor="text1"/>
              </w:rPr>
            </w:pPr>
            <w:r w:rsidRPr="005912C9">
              <w:t>36 071</w:t>
            </w:r>
          </w:p>
        </w:tc>
        <w:tc>
          <w:tcPr>
            <w:tcW w:w="900" w:type="dxa"/>
            <w:tcBorders>
              <w:top w:val="nil"/>
              <w:left w:val="nil"/>
              <w:bottom w:val="nil"/>
              <w:right w:val="nil"/>
            </w:tcBorders>
            <w:shd w:val="clear" w:color="auto" w:fill="auto"/>
            <w:noWrap/>
            <w:hideMark/>
          </w:tcPr>
          <w:p w14:paraId="01F0E6E0" w14:textId="29638C1E" w:rsidR="00FD6C1D" w:rsidRPr="009C6D5F" w:rsidRDefault="00FD6C1D" w:rsidP="00FD6C1D">
            <w:pPr>
              <w:spacing w:after="0"/>
              <w:jc w:val="right"/>
              <w:rPr>
                <w:color w:val="000000" w:themeColor="text1"/>
              </w:rPr>
            </w:pPr>
            <w:r w:rsidRPr="005912C9">
              <w:t>3 756</w:t>
            </w:r>
          </w:p>
        </w:tc>
        <w:tc>
          <w:tcPr>
            <w:tcW w:w="1540" w:type="dxa"/>
            <w:tcBorders>
              <w:top w:val="nil"/>
              <w:left w:val="nil"/>
              <w:bottom w:val="nil"/>
              <w:right w:val="nil"/>
            </w:tcBorders>
            <w:shd w:val="clear" w:color="auto" w:fill="auto"/>
            <w:noWrap/>
            <w:hideMark/>
          </w:tcPr>
          <w:p w14:paraId="11D5C07F" w14:textId="7205CB1E"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5046868E" w14:textId="4B0A84B1" w:rsidR="00FD6C1D" w:rsidRPr="009C6D5F" w:rsidRDefault="00FD6C1D" w:rsidP="00FD6C1D">
            <w:pPr>
              <w:spacing w:after="0"/>
              <w:jc w:val="right"/>
              <w:rPr>
                <w:color w:val="000000" w:themeColor="text1"/>
              </w:rPr>
            </w:pPr>
            <w:r w:rsidRPr="005912C9">
              <w:t>25</w:t>
            </w:r>
          </w:p>
        </w:tc>
        <w:tc>
          <w:tcPr>
            <w:tcW w:w="1180" w:type="dxa"/>
            <w:tcBorders>
              <w:top w:val="nil"/>
              <w:left w:val="nil"/>
              <w:bottom w:val="nil"/>
              <w:right w:val="nil"/>
            </w:tcBorders>
            <w:shd w:val="clear" w:color="auto" w:fill="auto"/>
            <w:noWrap/>
            <w:hideMark/>
          </w:tcPr>
          <w:p w14:paraId="3CA4CBD4" w14:textId="7DA3003C"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192C607B" w14:textId="318B19D1"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567E07B4" w14:textId="46A2781E" w:rsidR="00FD6C1D" w:rsidRPr="009C6D5F" w:rsidRDefault="00FD6C1D" w:rsidP="00FD6C1D">
            <w:pPr>
              <w:spacing w:after="0"/>
              <w:jc w:val="right"/>
              <w:rPr>
                <w:color w:val="000000" w:themeColor="text1"/>
              </w:rPr>
            </w:pPr>
            <w:r w:rsidRPr="005912C9">
              <w:t>0</w:t>
            </w:r>
          </w:p>
        </w:tc>
      </w:tr>
      <w:tr w:rsidR="00FD6C1D" w:rsidRPr="009C6D5F" w14:paraId="154A4AB0" w14:textId="77777777" w:rsidTr="007C663B">
        <w:trPr>
          <w:trHeight w:val="252"/>
        </w:trPr>
        <w:tc>
          <w:tcPr>
            <w:tcW w:w="2960" w:type="dxa"/>
            <w:tcBorders>
              <w:top w:val="nil"/>
              <w:left w:val="nil"/>
              <w:bottom w:val="nil"/>
              <w:right w:val="nil"/>
            </w:tcBorders>
            <w:shd w:val="clear" w:color="auto" w:fill="auto"/>
            <w:vAlign w:val="center"/>
            <w:hideMark/>
          </w:tcPr>
          <w:p w14:paraId="104E1FFA" w14:textId="49441B4E"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Dodávka vody, odvod odpadových vôd</w:t>
            </w:r>
          </w:p>
        </w:tc>
        <w:tc>
          <w:tcPr>
            <w:tcW w:w="940" w:type="dxa"/>
            <w:tcBorders>
              <w:top w:val="nil"/>
              <w:left w:val="nil"/>
              <w:bottom w:val="nil"/>
              <w:right w:val="nil"/>
            </w:tcBorders>
            <w:shd w:val="clear" w:color="auto" w:fill="auto"/>
            <w:noWrap/>
            <w:hideMark/>
          </w:tcPr>
          <w:p w14:paraId="202D7D68" w14:textId="73B41412" w:rsidR="00FD6C1D" w:rsidRPr="009C6D5F" w:rsidRDefault="00FD6C1D" w:rsidP="00FD6C1D">
            <w:pPr>
              <w:spacing w:after="0"/>
              <w:jc w:val="right"/>
              <w:rPr>
                <w:color w:val="000000" w:themeColor="text1"/>
              </w:rPr>
            </w:pPr>
            <w:r w:rsidRPr="005912C9">
              <w:t>297</w:t>
            </w:r>
          </w:p>
        </w:tc>
        <w:tc>
          <w:tcPr>
            <w:tcW w:w="1020" w:type="dxa"/>
            <w:tcBorders>
              <w:top w:val="nil"/>
              <w:left w:val="nil"/>
              <w:bottom w:val="nil"/>
              <w:right w:val="nil"/>
            </w:tcBorders>
            <w:shd w:val="clear" w:color="auto" w:fill="auto"/>
            <w:noWrap/>
            <w:hideMark/>
          </w:tcPr>
          <w:p w14:paraId="0C30D27B" w14:textId="7A2337C5"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4807680A" w14:textId="357C8FD5" w:rsidR="00FD6C1D" w:rsidRPr="009C6D5F" w:rsidRDefault="00FD6C1D" w:rsidP="00FD6C1D">
            <w:pPr>
              <w:spacing w:after="0"/>
              <w:jc w:val="right"/>
              <w:rPr>
                <w:color w:val="000000" w:themeColor="text1"/>
              </w:rPr>
            </w:pPr>
            <w:r w:rsidRPr="005912C9">
              <w:t>300</w:t>
            </w:r>
          </w:p>
        </w:tc>
        <w:tc>
          <w:tcPr>
            <w:tcW w:w="860" w:type="dxa"/>
            <w:tcBorders>
              <w:top w:val="nil"/>
              <w:left w:val="nil"/>
              <w:bottom w:val="nil"/>
              <w:right w:val="nil"/>
            </w:tcBorders>
            <w:shd w:val="clear" w:color="auto" w:fill="auto"/>
            <w:noWrap/>
            <w:hideMark/>
          </w:tcPr>
          <w:p w14:paraId="5F2F19AD" w14:textId="42F944E8" w:rsidR="00FD6C1D" w:rsidRPr="009C6D5F" w:rsidRDefault="00FD6C1D" w:rsidP="00FD6C1D">
            <w:pPr>
              <w:spacing w:after="0"/>
              <w:jc w:val="right"/>
              <w:rPr>
                <w:color w:val="000000" w:themeColor="text1"/>
              </w:rPr>
            </w:pPr>
            <w:r w:rsidRPr="005912C9">
              <w:t>0</w:t>
            </w:r>
          </w:p>
        </w:tc>
        <w:tc>
          <w:tcPr>
            <w:tcW w:w="880" w:type="dxa"/>
            <w:tcBorders>
              <w:top w:val="nil"/>
              <w:left w:val="nil"/>
              <w:bottom w:val="nil"/>
              <w:right w:val="nil"/>
            </w:tcBorders>
            <w:shd w:val="clear" w:color="auto" w:fill="auto"/>
            <w:noWrap/>
            <w:hideMark/>
          </w:tcPr>
          <w:p w14:paraId="2CF8FE15" w14:textId="65BF20CD"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6738253F" w14:textId="545C3E47" w:rsidR="00FD6C1D" w:rsidRPr="009C6D5F" w:rsidRDefault="00FD6C1D" w:rsidP="00FD6C1D">
            <w:pPr>
              <w:spacing w:after="0"/>
              <w:jc w:val="right"/>
              <w:rPr>
                <w:color w:val="000000" w:themeColor="text1"/>
              </w:rPr>
            </w:pPr>
            <w:r w:rsidRPr="005912C9">
              <w:t>3 661</w:t>
            </w:r>
          </w:p>
        </w:tc>
        <w:tc>
          <w:tcPr>
            <w:tcW w:w="900" w:type="dxa"/>
            <w:tcBorders>
              <w:top w:val="nil"/>
              <w:left w:val="nil"/>
              <w:bottom w:val="nil"/>
              <w:right w:val="nil"/>
            </w:tcBorders>
            <w:shd w:val="clear" w:color="auto" w:fill="auto"/>
            <w:noWrap/>
            <w:hideMark/>
          </w:tcPr>
          <w:p w14:paraId="6FF9D5E0" w14:textId="09F2128F" w:rsidR="00FD6C1D" w:rsidRPr="009C6D5F" w:rsidRDefault="00FD6C1D" w:rsidP="00FD6C1D">
            <w:pPr>
              <w:spacing w:after="0"/>
              <w:jc w:val="right"/>
              <w:rPr>
                <w:color w:val="000000" w:themeColor="text1"/>
              </w:rPr>
            </w:pPr>
            <w:r w:rsidRPr="005912C9">
              <w:t>195</w:t>
            </w:r>
          </w:p>
        </w:tc>
        <w:tc>
          <w:tcPr>
            <w:tcW w:w="1540" w:type="dxa"/>
            <w:tcBorders>
              <w:top w:val="nil"/>
              <w:left w:val="nil"/>
              <w:bottom w:val="nil"/>
              <w:right w:val="nil"/>
            </w:tcBorders>
            <w:shd w:val="clear" w:color="auto" w:fill="auto"/>
            <w:noWrap/>
            <w:hideMark/>
          </w:tcPr>
          <w:p w14:paraId="5E8ED31B" w14:textId="7B5BCAEC"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28459FD5" w14:textId="7DEF7580"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12116CDF" w14:textId="32BFB62D"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418A6D38" w14:textId="0267667D"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768CDEBF" w14:textId="739E9FCF" w:rsidR="00FD6C1D" w:rsidRPr="009C6D5F" w:rsidRDefault="00FD6C1D" w:rsidP="00FD6C1D">
            <w:pPr>
              <w:spacing w:after="0"/>
              <w:jc w:val="right"/>
              <w:rPr>
                <w:color w:val="000000" w:themeColor="text1"/>
              </w:rPr>
            </w:pPr>
            <w:r w:rsidRPr="005912C9">
              <w:t>0</w:t>
            </w:r>
          </w:p>
        </w:tc>
      </w:tr>
      <w:tr w:rsidR="00FD6C1D" w:rsidRPr="009C6D5F" w14:paraId="6D84F8BC" w14:textId="77777777" w:rsidTr="007C663B">
        <w:trPr>
          <w:trHeight w:val="252"/>
        </w:trPr>
        <w:tc>
          <w:tcPr>
            <w:tcW w:w="2960" w:type="dxa"/>
            <w:tcBorders>
              <w:top w:val="nil"/>
              <w:left w:val="nil"/>
              <w:bottom w:val="nil"/>
              <w:right w:val="nil"/>
            </w:tcBorders>
            <w:shd w:val="clear" w:color="auto" w:fill="auto"/>
            <w:vAlign w:val="center"/>
            <w:hideMark/>
          </w:tcPr>
          <w:p w14:paraId="5E1FFACE" w14:textId="08D11B57"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Stavebníctvo</w:t>
            </w:r>
          </w:p>
        </w:tc>
        <w:tc>
          <w:tcPr>
            <w:tcW w:w="940" w:type="dxa"/>
            <w:tcBorders>
              <w:top w:val="nil"/>
              <w:left w:val="nil"/>
              <w:bottom w:val="nil"/>
              <w:right w:val="nil"/>
            </w:tcBorders>
            <w:shd w:val="clear" w:color="auto" w:fill="auto"/>
            <w:noWrap/>
            <w:hideMark/>
          </w:tcPr>
          <w:p w14:paraId="0BE5ABDF" w14:textId="04C92022" w:rsidR="00FD6C1D" w:rsidRPr="009C6D5F" w:rsidRDefault="00FD6C1D" w:rsidP="00FD6C1D">
            <w:pPr>
              <w:spacing w:after="0"/>
              <w:jc w:val="right"/>
              <w:rPr>
                <w:color w:val="000000" w:themeColor="text1"/>
              </w:rPr>
            </w:pPr>
            <w:r w:rsidRPr="005912C9">
              <w:t>786</w:t>
            </w:r>
          </w:p>
        </w:tc>
        <w:tc>
          <w:tcPr>
            <w:tcW w:w="1020" w:type="dxa"/>
            <w:tcBorders>
              <w:top w:val="nil"/>
              <w:left w:val="nil"/>
              <w:bottom w:val="nil"/>
              <w:right w:val="nil"/>
            </w:tcBorders>
            <w:shd w:val="clear" w:color="auto" w:fill="auto"/>
            <w:noWrap/>
            <w:hideMark/>
          </w:tcPr>
          <w:p w14:paraId="04FF473B" w14:textId="3568FD81"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505C6545" w14:textId="71518CA8"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03A5E2CF" w14:textId="40F457ED" w:rsidR="00FD6C1D" w:rsidRPr="009C6D5F" w:rsidRDefault="00FD6C1D" w:rsidP="00FD6C1D">
            <w:pPr>
              <w:spacing w:after="0"/>
              <w:jc w:val="right"/>
              <w:rPr>
                <w:color w:val="000000" w:themeColor="text1"/>
              </w:rPr>
            </w:pPr>
            <w:r w:rsidRPr="005912C9">
              <w:t>31</w:t>
            </w:r>
          </w:p>
        </w:tc>
        <w:tc>
          <w:tcPr>
            <w:tcW w:w="880" w:type="dxa"/>
            <w:tcBorders>
              <w:top w:val="nil"/>
              <w:left w:val="nil"/>
              <w:bottom w:val="nil"/>
              <w:right w:val="nil"/>
            </w:tcBorders>
            <w:shd w:val="clear" w:color="auto" w:fill="auto"/>
            <w:noWrap/>
            <w:hideMark/>
          </w:tcPr>
          <w:p w14:paraId="0DFAD168" w14:textId="74C99632"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6A402AB7" w14:textId="6AA1C6C6" w:rsidR="00FD6C1D" w:rsidRPr="009C6D5F" w:rsidRDefault="00FD6C1D" w:rsidP="00FD6C1D">
            <w:pPr>
              <w:spacing w:after="0"/>
              <w:jc w:val="right"/>
              <w:rPr>
                <w:color w:val="000000" w:themeColor="text1"/>
              </w:rPr>
            </w:pPr>
            <w:r w:rsidRPr="005912C9">
              <w:t>8 837</w:t>
            </w:r>
          </w:p>
        </w:tc>
        <w:tc>
          <w:tcPr>
            <w:tcW w:w="900" w:type="dxa"/>
            <w:tcBorders>
              <w:top w:val="nil"/>
              <w:left w:val="nil"/>
              <w:bottom w:val="nil"/>
              <w:right w:val="nil"/>
            </w:tcBorders>
            <w:shd w:val="clear" w:color="auto" w:fill="auto"/>
            <w:noWrap/>
            <w:hideMark/>
          </w:tcPr>
          <w:p w14:paraId="3AB3A791" w14:textId="30782598" w:rsidR="00FD6C1D" w:rsidRPr="009C6D5F" w:rsidRDefault="00FD6C1D" w:rsidP="00FD6C1D">
            <w:pPr>
              <w:spacing w:after="0"/>
              <w:jc w:val="right"/>
              <w:rPr>
                <w:color w:val="000000" w:themeColor="text1"/>
              </w:rPr>
            </w:pPr>
            <w:r w:rsidRPr="005912C9">
              <w:t>3 619</w:t>
            </w:r>
          </w:p>
        </w:tc>
        <w:tc>
          <w:tcPr>
            <w:tcW w:w="1540" w:type="dxa"/>
            <w:tcBorders>
              <w:top w:val="nil"/>
              <w:left w:val="nil"/>
              <w:bottom w:val="nil"/>
              <w:right w:val="nil"/>
            </w:tcBorders>
            <w:shd w:val="clear" w:color="auto" w:fill="auto"/>
            <w:noWrap/>
            <w:hideMark/>
          </w:tcPr>
          <w:p w14:paraId="19302D89" w14:textId="1D309F43" w:rsidR="00FD6C1D" w:rsidRPr="009C6D5F" w:rsidRDefault="00FD6C1D" w:rsidP="00FD6C1D">
            <w:pPr>
              <w:spacing w:after="0"/>
              <w:jc w:val="right"/>
              <w:rPr>
                <w:color w:val="000000" w:themeColor="text1"/>
              </w:rPr>
            </w:pPr>
            <w:r w:rsidRPr="005912C9">
              <w:t>7 059</w:t>
            </w:r>
          </w:p>
        </w:tc>
        <w:tc>
          <w:tcPr>
            <w:tcW w:w="1020" w:type="dxa"/>
            <w:tcBorders>
              <w:top w:val="nil"/>
              <w:left w:val="nil"/>
              <w:bottom w:val="nil"/>
              <w:right w:val="nil"/>
            </w:tcBorders>
            <w:shd w:val="clear" w:color="auto" w:fill="auto"/>
            <w:noWrap/>
            <w:hideMark/>
          </w:tcPr>
          <w:p w14:paraId="684F9BA9" w14:textId="467F4768" w:rsidR="00FD6C1D" w:rsidRPr="009C6D5F" w:rsidRDefault="00FD6C1D" w:rsidP="00FD6C1D">
            <w:pPr>
              <w:spacing w:after="0"/>
              <w:jc w:val="right"/>
              <w:rPr>
                <w:color w:val="000000" w:themeColor="text1"/>
              </w:rPr>
            </w:pPr>
            <w:r w:rsidRPr="005912C9">
              <w:t>1 518</w:t>
            </w:r>
          </w:p>
        </w:tc>
        <w:tc>
          <w:tcPr>
            <w:tcW w:w="1180" w:type="dxa"/>
            <w:tcBorders>
              <w:top w:val="nil"/>
              <w:left w:val="nil"/>
              <w:bottom w:val="nil"/>
              <w:right w:val="nil"/>
            </w:tcBorders>
            <w:shd w:val="clear" w:color="auto" w:fill="auto"/>
            <w:noWrap/>
            <w:hideMark/>
          </w:tcPr>
          <w:p w14:paraId="511399C1" w14:textId="74D453E2"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77FE6883" w14:textId="56E1AC2C"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75FC5CE7" w14:textId="7B3CE8AD" w:rsidR="00FD6C1D" w:rsidRPr="009C6D5F" w:rsidRDefault="00FD6C1D" w:rsidP="00FD6C1D">
            <w:pPr>
              <w:spacing w:after="0"/>
              <w:jc w:val="right"/>
              <w:rPr>
                <w:color w:val="000000" w:themeColor="text1"/>
              </w:rPr>
            </w:pPr>
            <w:r w:rsidRPr="005912C9">
              <w:t>0</w:t>
            </w:r>
          </w:p>
        </w:tc>
      </w:tr>
      <w:tr w:rsidR="00FD6C1D" w:rsidRPr="009C6D5F" w14:paraId="298CB5D7" w14:textId="77777777" w:rsidTr="007C663B">
        <w:trPr>
          <w:trHeight w:val="252"/>
        </w:trPr>
        <w:tc>
          <w:tcPr>
            <w:tcW w:w="2960" w:type="dxa"/>
            <w:tcBorders>
              <w:top w:val="nil"/>
              <w:left w:val="nil"/>
              <w:bottom w:val="nil"/>
              <w:right w:val="nil"/>
            </w:tcBorders>
            <w:shd w:val="clear" w:color="auto" w:fill="auto"/>
            <w:vAlign w:val="center"/>
            <w:hideMark/>
          </w:tcPr>
          <w:p w14:paraId="21473704" w14:textId="471E50AF"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Veľkoobchod a maloobchod</w:t>
            </w:r>
          </w:p>
        </w:tc>
        <w:tc>
          <w:tcPr>
            <w:tcW w:w="940" w:type="dxa"/>
            <w:tcBorders>
              <w:top w:val="nil"/>
              <w:left w:val="nil"/>
              <w:bottom w:val="nil"/>
              <w:right w:val="nil"/>
            </w:tcBorders>
            <w:shd w:val="clear" w:color="auto" w:fill="auto"/>
            <w:noWrap/>
            <w:hideMark/>
          </w:tcPr>
          <w:p w14:paraId="44164B87" w14:textId="0E5349E3" w:rsidR="00FD6C1D" w:rsidRPr="009C6D5F" w:rsidRDefault="00FD6C1D" w:rsidP="00FD6C1D">
            <w:pPr>
              <w:spacing w:after="0"/>
              <w:jc w:val="right"/>
              <w:rPr>
                <w:color w:val="000000" w:themeColor="text1"/>
              </w:rPr>
            </w:pPr>
            <w:r w:rsidRPr="005912C9">
              <w:t>1 793</w:t>
            </w:r>
          </w:p>
        </w:tc>
        <w:tc>
          <w:tcPr>
            <w:tcW w:w="1020" w:type="dxa"/>
            <w:tcBorders>
              <w:top w:val="nil"/>
              <w:left w:val="nil"/>
              <w:bottom w:val="nil"/>
              <w:right w:val="nil"/>
            </w:tcBorders>
            <w:shd w:val="clear" w:color="auto" w:fill="auto"/>
            <w:noWrap/>
            <w:hideMark/>
          </w:tcPr>
          <w:p w14:paraId="265C40ED" w14:textId="20B337A9"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3C33977E" w14:textId="24C5DC12"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22479CFC" w14:textId="51CB3B63" w:rsidR="00FD6C1D" w:rsidRPr="009C6D5F" w:rsidRDefault="00FD6C1D" w:rsidP="00FD6C1D">
            <w:pPr>
              <w:spacing w:after="0"/>
              <w:jc w:val="right"/>
              <w:rPr>
                <w:color w:val="000000" w:themeColor="text1"/>
              </w:rPr>
            </w:pPr>
            <w:r w:rsidRPr="005912C9">
              <w:t>83</w:t>
            </w:r>
          </w:p>
        </w:tc>
        <w:tc>
          <w:tcPr>
            <w:tcW w:w="880" w:type="dxa"/>
            <w:tcBorders>
              <w:top w:val="nil"/>
              <w:left w:val="nil"/>
              <w:bottom w:val="nil"/>
              <w:right w:val="nil"/>
            </w:tcBorders>
            <w:shd w:val="clear" w:color="auto" w:fill="auto"/>
            <w:noWrap/>
            <w:hideMark/>
          </w:tcPr>
          <w:p w14:paraId="305E2BB7" w14:textId="5BD84E07"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27BFDFDA" w14:textId="01D3B4F7" w:rsidR="00FD6C1D" w:rsidRPr="009C6D5F" w:rsidRDefault="00FD6C1D" w:rsidP="00FD6C1D">
            <w:pPr>
              <w:spacing w:after="0"/>
              <w:jc w:val="right"/>
              <w:rPr>
                <w:color w:val="000000" w:themeColor="text1"/>
              </w:rPr>
            </w:pPr>
            <w:r w:rsidRPr="005912C9">
              <w:t>20 950</w:t>
            </w:r>
          </w:p>
        </w:tc>
        <w:tc>
          <w:tcPr>
            <w:tcW w:w="900" w:type="dxa"/>
            <w:tcBorders>
              <w:top w:val="nil"/>
              <w:left w:val="nil"/>
              <w:bottom w:val="nil"/>
              <w:right w:val="nil"/>
            </w:tcBorders>
            <w:shd w:val="clear" w:color="auto" w:fill="auto"/>
            <w:noWrap/>
            <w:hideMark/>
          </w:tcPr>
          <w:p w14:paraId="06FB75E8" w14:textId="6339DFA3" w:rsidR="00FD6C1D" w:rsidRPr="009C6D5F" w:rsidRDefault="00FD6C1D" w:rsidP="00FD6C1D">
            <w:pPr>
              <w:spacing w:after="0"/>
              <w:jc w:val="right"/>
              <w:rPr>
                <w:color w:val="000000" w:themeColor="text1"/>
              </w:rPr>
            </w:pPr>
            <w:r w:rsidRPr="005912C9">
              <w:t>8 391</w:t>
            </w:r>
          </w:p>
        </w:tc>
        <w:tc>
          <w:tcPr>
            <w:tcW w:w="1540" w:type="dxa"/>
            <w:tcBorders>
              <w:top w:val="nil"/>
              <w:left w:val="nil"/>
              <w:bottom w:val="nil"/>
              <w:right w:val="nil"/>
            </w:tcBorders>
            <w:shd w:val="clear" w:color="auto" w:fill="auto"/>
            <w:noWrap/>
            <w:hideMark/>
          </w:tcPr>
          <w:p w14:paraId="77E6F23C" w14:textId="03116E71" w:rsidR="00FD6C1D" w:rsidRPr="009C6D5F" w:rsidRDefault="00FD6C1D" w:rsidP="00FD6C1D">
            <w:pPr>
              <w:spacing w:after="0"/>
              <w:jc w:val="right"/>
              <w:rPr>
                <w:color w:val="000000" w:themeColor="text1"/>
              </w:rPr>
            </w:pPr>
            <w:r w:rsidRPr="005912C9">
              <w:t>9 902</w:t>
            </w:r>
          </w:p>
        </w:tc>
        <w:tc>
          <w:tcPr>
            <w:tcW w:w="1020" w:type="dxa"/>
            <w:tcBorders>
              <w:top w:val="nil"/>
              <w:left w:val="nil"/>
              <w:bottom w:val="nil"/>
              <w:right w:val="nil"/>
            </w:tcBorders>
            <w:shd w:val="clear" w:color="auto" w:fill="auto"/>
            <w:noWrap/>
            <w:hideMark/>
          </w:tcPr>
          <w:p w14:paraId="71E7E766" w14:textId="360C8B3E" w:rsidR="00FD6C1D" w:rsidRPr="009C6D5F" w:rsidRDefault="00FD6C1D" w:rsidP="00FD6C1D">
            <w:pPr>
              <w:spacing w:after="0"/>
              <w:jc w:val="right"/>
              <w:rPr>
                <w:color w:val="000000" w:themeColor="text1"/>
              </w:rPr>
            </w:pPr>
            <w:r w:rsidRPr="005912C9">
              <w:t>1 316</w:t>
            </w:r>
          </w:p>
        </w:tc>
        <w:tc>
          <w:tcPr>
            <w:tcW w:w="1180" w:type="dxa"/>
            <w:tcBorders>
              <w:top w:val="nil"/>
              <w:left w:val="nil"/>
              <w:bottom w:val="nil"/>
              <w:right w:val="nil"/>
            </w:tcBorders>
            <w:shd w:val="clear" w:color="auto" w:fill="auto"/>
            <w:noWrap/>
            <w:hideMark/>
          </w:tcPr>
          <w:p w14:paraId="68A51AC7" w14:textId="1FA8DE7B"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210145B2" w14:textId="4131F8CE"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48DB8BBD" w14:textId="117EA79D" w:rsidR="00FD6C1D" w:rsidRPr="009C6D5F" w:rsidRDefault="00FD6C1D" w:rsidP="00FD6C1D">
            <w:pPr>
              <w:spacing w:after="0"/>
              <w:jc w:val="right"/>
              <w:rPr>
                <w:color w:val="000000" w:themeColor="text1"/>
              </w:rPr>
            </w:pPr>
            <w:r w:rsidRPr="005912C9">
              <w:t>0</w:t>
            </w:r>
          </w:p>
        </w:tc>
      </w:tr>
      <w:tr w:rsidR="00FD6C1D" w:rsidRPr="009C6D5F" w14:paraId="50B15C3E" w14:textId="77777777" w:rsidTr="007C663B">
        <w:trPr>
          <w:trHeight w:val="252"/>
        </w:trPr>
        <w:tc>
          <w:tcPr>
            <w:tcW w:w="2960" w:type="dxa"/>
            <w:tcBorders>
              <w:top w:val="nil"/>
              <w:left w:val="nil"/>
              <w:bottom w:val="nil"/>
              <w:right w:val="nil"/>
            </w:tcBorders>
            <w:shd w:val="clear" w:color="auto" w:fill="auto"/>
            <w:vAlign w:val="center"/>
            <w:hideMark/>
          </w:tcPr>
          <w:p w14:paraId="1628CD54" w14:textId="1E29198A"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Doprava a skladovanie</w:t>
            </w:r>
          </w:p>
        </w:tc>
        <w:tc>
          <w:tcPr>
            <w:tcW w:w="940" w:type="dxa"/>
            <w:tcBorders>
              <w:top w:val="nil"/>
              <w:left w:val="nil"/>
              <w:bottom w:val="nil"/>
              <w:right w:val="nil"/>
            </w:tcBorders>
            <w:shd w:val="clear" w:color="auto" w:fill="auto"/>
            <w:noWrap/>
            <w:hideMark/>
          </w:tcPr>
          <w:p w14:paraId="3659C949" w14:textId="2DA4AFA5" w:rsidR="00FD6C1D" w:rsidRPr="009C6D5F" w:rsidRDefault="00FD6C1D" w:rsidP="00FD6C1D">
            <w:pPr>
              <w:spacing w:after="0"/>
              <w:jc w:val="right"/>
              <w:rPr>
                <w:color w:val="000000" w:themeColor="text1"/>
              </w:rPr>
            </w:pPr>
            <w:r w:rsidRPr="005912C9">
              <w:t>124</w:t>
            </w:r>
          </w:p>
        </w:tc>
        <w:tc>
          <w:tcPr>
            <w:tcW w:w="1020" w:type="dxa"/>
            <w:tcBorders>
              <w:top w:val="nil"/>
              <w:left w:val="nil"/>
              <w:bottom w:val="nil"/>
              <w:right w:val="nil"/>
            </w:tcBorders>
            <w:shd w:val="clear" w:color="auto" w:fill="auto"/>
            <w:noWrap/>
            <w:hideMark/>
          </w:tcPr>
          <w:p w14:paraId="2D8BD115" w14:textId="04ED7D52"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67E0EB1E" w14:textId="1DCFA385"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3AA8CB98" w14:textId="1DA2FCEC" w:rsidR="00FD6C1D" w:rsidRPr="009C6D5F" w:rsidRDefault="00FD6C1D" w:rsidP="00FD6C1D">
            <w:pPr>
              <w:spacing w:after="0"/>
              <w:jc w:val="right"/>
              <w:rPr>
                <w:color w:val="000000" w:themeColor="text1"/>
              </w:rPr>
            </w:pPr>
            <w:r w:rsidRPr="005912C9">
              <w:t>38</w:t>
            </w:r>
          </w:p>
        </w:tc>
        <w:tc>
          <w:tcPr>
            <w:tcW w:w="880" w:type="dxa"/>
            <w:tcBorders>
              <w:top w:val="nil"/>
              <w:left w:val="nil"/>
              <w:bottom w:val="nil"/>
              <w:right w:val="nil"/>
            </w:tcBorders>
            <w:shd w:val="clear" w:color="auto" w:fill="auto"/>
            <w:noWrap/>
            <w:hideMark/>
          </w:tcPr>
          <w:p w14:paraId="78975D0F" w14:textId="3C56E3CE"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61D9F64B" w14:textId="59E8945D" w:rsidR="00FD6C1D" w:rsidRPr="009C6D5F" w:rsidRDefault="00FD6C1D" w:rsidP="00FD6C1D">
            <w:pPr>
              <w:spacing w:after="0"/>
              <w:jc w:val="right"/>
              <w:rPr>
                <w:color w:val="000000" w:themeColor="text1"/>
              </w:rPr>
            </w:pPr>
            <w:r w:rsidRPr="005912C9">
              <w:t>528</w:t>
            </w:r>
          </w:p>
        </w:tc>
        <w:tc>
          <w:tcPr>
            <w:tcW w:w="900" w:type="dxa"/>
            <w:tcBorders>
              <w:top w:val="nil"/>
              <w:left w:val="nil"/>
              <w:bottom w:val="nil"/>
              <w:right w:val="nil"/>
            </w:tcBorders>
            <w:shd w:val="clear" w:color="auto" w:fill="auto"/>
            <w:noWrap/>
            <w:hideMark/>
          </w:tcPr>
          <w:p w14:paraId="01CA802E" w14:textId="289B6D85" w:rsidR="00FD6C1D" w:rsidRPr="009C6D5F" w:rsidRDefault="00FD6C1D" w:rsidP="00FD6C1D">
            <w:pPr>
              <w:spacing w:after="0"/>
              <w:jc w:val="right"/>
              <w:rPr>
                <w:color w:val="000000" w:themeColor="text1"/>
              </w:rPr>
            </w:pPr>
            <w:r w:rsidRPr="005912C9">
              <w:t>2 508</w:t>
            </w:r>
          </w:p>
        </w:tc>
        <w:tc>
          <w:tcPr>
            <w:tcW w:w="1540" w:type="dxa"/>
            <w:tcBorders>
              <w:top w:val="nil"/>
              <w:left w:val="nil"/>
              <w:bottom w:val="nil"/>
              <w:right w:val="nil"/>
            </w:tcBorders>
            <w:shd w:val="clear" w:color="auto" w:fill="auto"/>
            <w:noWrap/>
            <w:hideMark/>
          </w:tcPr>
          <w:p w14:paraId="50A40B86" w14:textId="462D6439" w:rsidR="00FD6C1D" w:rsidRPr="009C6D5F" w:rsidRDefault="00FD6C1D" w:rsidP="00FD6C1D">
            <w:pPr>
              <w:spacing w:after="0"/>
              <w:jc w:val="right"/>
              <w:rPr>
                <w:color w:val="000000" w:themeColor="text1"/>
              </w:rPr>
            </w:pPr>
            <w:r w:rsidRPr="005912C9">
              <w:t>993</w:t>
            </w:r>
          </w:p>
        </w:tc>
        <w:tc>
          <w:tcPr>
            <w:tcW w:w="1020" w:type="dxa"/>
            <w:tcBorders>
              <w:top w:val="nil"/>
              <w:left w:val="nil"/>
              <w:bottom w:val="nil"/>
              <w:right w:val="nil"/>
            </w:tcBorders>
            <w:shd w:val="clear" w:color="auto" w:fill="auto"/>
            <w:noWrap/>
            <w:hideMark/>
          </w:tcPr>
          <w:p w14:paraId="405AF0F8" w14:textId="57D79D4A" w:rsidR="00FD6C1D" w:rsidRPr="009C6D5F" w:rsidRDefault="00FD6C1D" w:rsidP="00FD6C1D">
            <w:pPr>
              <w:spacing w:after="0"/>
              <w:jc w:val="right"/>
              <w:rPr>
                <w:color w:val="000000" w:themeColor="text1"/>
              </w:rPr>
            </w:pPr>
            <w:r w:rsidRPr="005912C9">
              <w:t>16</w:t>
            </w:r>
          </w:p>
        </w:tc>
        <w:tc>
          <w:tcPr>
            <w:tcW w:w="1180" w:type="dxa"/>
            <w:tcBorders>
              <w:top w:val="nil"/>
              <w:left w:val="nil"/>
              <w:bottom w:val="nil"/>
              <w:right w:val="nil"/>
            </w:tcBorders>
            <w:shd w:val="clear" w:color="auto" w:fill="auto"/>
            <w:noWrap/>
            <w:hideMark/>
          </w:tcPr>
          <w:p w14:paraId="7BDB2A0A" w14:textId="4A85C1B0"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21E8BA92" w14:textId="0F364161"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784A2D1B" w14:textId="7D125895" w:rsidR="00FD6C1D" w:rsidRPr="009C6D5F" w:rsidRDefault="00FD6C1D" w:rsidP="00FD6C1D">
            <w:pPr>
              <w:spacing w:after="0"/>
              <w:jc w:val="right"/>
              <w:rPr>
                <w:color w:val="000000" w:themeColor="text1"/>
              </w:rPr>
            </w:pPr>
            <w:r w:rsidRPr="005912C9">
              <w:t>0</w:t>
            </w:r>
          </w:p>
        </w:tc>
      </w:tr>
      <w:tr w:rsidR="00FD6C1D" w:rsidRPr="009C6D5F" w14:paraId="4CA3131C" w14:textId="77777777" w:rsidTr="007C663B">
        <w:trPr>
          <w:trHeight w:val="252"/>
        </w:trPr>
        <w:tc>
          <w:tcPr>
            <w:tcW w:w="2960" w:type="dxa"/>
            <w:tcBorders>
              <w:top w:val="nil"/>
              <w:left w:val="nil"/>
              <w:bottom w:val="nil"/>
              <w:right w:val="nil"/>
            </w:tcBorders>
            <w:shd w:val="clear" w:color="auto" w:fill="auto"/>
            <w:vAlign w:val="center"/>
            <w:hideMark/>
          </w:tcPr>
          <w:p w14:paraId="3F2CA50B" w14:textId="697FB594"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Ubytovacie a stravovacie služby</w:t>
            </w:r>
          </w:p>
        </w:tc>
        <w:tc>
          <w:tcPr>
            <w:tcW w:w="940" w:type="dxa"/>
            <w:tcBorders>
              <w:top w:val="nil"/>
              <w:left w:val="nil"/>
              <w:bottom w:val="nil"/>
              <w:right w:val="nil"/>
            </w:tcBorders>
            <w:shd w:val="clear" w:color="auto" w:fill="auto"/>
            <w:noWrap/>
            <w:hideMark/>
          </w:tcPr>
          <w:p w14:paraId="2EC46DC4" w14:textId="18E64BBC" w:rsidR="00FD6C1D" w:rsidRPr="009C6D5F" w:rsidRDefault="00FD6C1D" w:rsidP="00FD6C1D">
            <w:pPr>
              <w:spacing w:after="0"/>
              <w:jc w:val="right"/>
              <w:rPr>
                <w:color w:val="000000" w:themeColor="text1"/>
              </w:rPr>
            </w:pPr>
            <w:r w:rsidRPr="005912C9">
              <w:t>86</w:t>
            </w:r>
          </w:p>
        </w:tc>
        <w:tc>
          <w:tcPr>
            <w:tcW w:w="1020" w:type="dxa"/>
            <w:tcBorders>
              <w:top w:val="nil"/>
              <w:left w:val="nil"/>
              <w:bottom w:val="nil"/>
              <w:right w:val="nil"/>
            </w:tcBorders>
            <w:shd w:val="clear" w:color="auto" w:fill="auto"/>
            <w:noWrap/>
            <w:hideMark/>
          </w:tcPr>
          <w:p w14:paraId="40B3B8B7" w14:textId="1527573F"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49C22D61" w14:textId="4C6DFB04"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3953C778" w14:textId="688D7F37" w:rsidR="00FD6C1D" w:rsidRPr="009C6D5F" w:rsidRDefault="00FD6C1D" w:rsidP="00FD6C1D">
            <w:pPr>
              <w:spacing w:after="0"/>
              <w:jc w:val="right"/>
              <w:rPr>
                <w:color w:val="000000" w:themeColor="text1"/>
              </w:rPr>
            </w:pPr>
            <w:r w:rsidRPr="005912C9">
              <w:t>15</w:t>
            </w:r>
          </w:p>
        </w:tc>
        <w:tc>
          <w:tcPr>
            <w:tcW w:w="880" w:type="dxa"/>
            <w:tcBorders>
              <w:top w:val="nil"/>
              <w:left w:val="nil"/>
              <w:bottom w:val="nil"/>
              <w:right w:val="nil"/>
            </w:tcBorders>
            <w:shd w:val="clear" w:color="auto" w:fill="auto"/>
            <w:noWrap/>
            <w:hideMark/>
          </w:tcPr>
          <w:p w14:paraId="5E180947" w14:textId="67767E45"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5B28DBF5" w14:textId="2117E26C" w:rsidR="00FD6C1D" w:rsidRPr="009C6D5F" w:rsidRDefault="00FD6C1D" w:rsidP="00FD6C1D">
            <w:pPr>
              <w:spacing w:after="0"/>
              <w:jc w:val="right"/>
              <w:rPr>
                <w:color w:val="000000" w:themeColor="text1"/>
              </w:rPr>
            </w:pPr>
            <w:r w:rsidRPr="005912C9">
              <w:t>1 007</w:t>
            </w:r>
          </w:p>
        </w:tc>
        <w:tc>
          <w:tcPr>
            <w:tcW w:w="900" w:type="dxa"/>
            <w:tcBorders>
              <w:top w:val="nil"/>
              <w:left w:val="nil"/>
              <w:bottom w:val="nil"/>
              <w:right w:val="nil"/>
            </w:tcBorders>
            <w:shd w:val="clear" w:color="auto" w:fill="auto"/>
            <w:noWrap/>
            <w:hideMark/>
          </w:tcPr>
          <w:p w14:paraId="498B26D0" w14:textId="7EA94BCA" w:rsidR="00FD6C1D" w:rsidRPr="009C6D5F" w:rsidRDefault="00FD6C1D" w:rsidP="00FD6C1D">
            <w:pPr>
              <w:spacing w:after="0"/>
              <w:jc w:val="right"/>
              <w:rPr>
                <w:color w:val="000000" w:themeColor="text1"/>
              </w:rPr>
            </w:pPr>
            <w:r w:rsidRPr="005912C9">
              <w:t>662</w:t>
            </w:r>
          </w:p>
        </w:tc>
        <w:tc>
          <w:tcPr>
            <w:tcW w:w="1540" w:type="dxa"/>
            <w:tcBorders>
              <w:top w:val="nil"/>
              <w:left w:val="nil"/>
              <w:bottom w:val="nil"/>
              <w:right w:val="nil"/>
            </w:tcBorders>
            <w:shd w:val="clear" w:color="auto" w:fill="auto"/>
            <w:noWrap/>
            <w:hideMark/>
          </w:tcPr>
          <w:p w14:paraId="7A5CC71C" w14:textId="475F031A" w:rsidR="00FD6C1D" w:rsidRPr="009C6D5F" w:rsidRDefault="00FD6C1D" w:rsidP="00FD6C1D">
            <w:pPr>
              <w:spacing w:after="0"/>
              <w:jc w:val="right"/>
              <w:rPr>
                <w:color w:val="000000" w:themeColor="text1"/>
              </w:rPr>
            </w:pPr>
            <w:r w:rsidRPr="005912C9">
              <w:t>365</w:t>
            </w:r>
          </w:p>
        </w:tc>
        <w:tc>
          <w:tcPr>
            <w:tcW w:w="1020" w:type="dxa"/>
            <w:tcBorders>
              <w:top w:val="nil"/>
              <w:left w:val="nil"/>
              <w:bottom w:val="nil"/>
              <w:right w:val="nil"/>
            </w:tcBorders>
            <w:shd w:val="clear" w:color="auto" w:fill="auto"/>
            <w:noWrap/>
            <w:hideMark/>
          </w:tcPr>
          <w:p w14:paraId="544F7D4C" w14:textId="59C48FC4"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0886BDD4" w14:textId="09BF3CC8"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342D331A" w14:textId="696723B4"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450E320E" w14:textId="67E711A0" w:rsidR="00FD6C1D" w:rsidRPr="009C6D5F" w:rsidRDefault="00FD6C1D" w:rsidP="00FD6C1D">
            <w:pPr>
              <w:spacing w:after="0"/>
              <w:jc w:val="right"/>
              <w:rPr>
                <w:color w:val="000000" w:themeColor="text1"/>
              </w:rPr>
            </w:pPr>
            <w:r w:rsidRPr="005912C9">
              <w:t>0</w:t>
            </w:r>
          </w:p>
        </w:tc>
      </w:tr>
      <w:tr w:rsidR="00FD6C1D" w:rsidRPr="009C6D5F" w14:paraId="4B1DBEAA" w14:textId="77777777" w:rsidTr="007C663B">
        <w:trPr>
          <w:trHeight w:val="252"/>
        </w:trPr>
        <w:tc>
          <w:tcPr>
            <w:tcW w:w="2960" w:type="dxa"/>
            <w:tcBorders>
              <w:top w:val="nil"/>
              <w:left w:val="nil"/>
              <w:bottom w:val="nil"/>
              <w:right w:val="nil"/>
            </w:tcBorders>
            <w:shd w:val="clear" w:color="auto" w:fill="auto"/>
            <w:vAlign w:val="center"/>
            <w:hideMark/>
          </w:tcPr>
          <w:p w14:paraId="2720F2B7" w14:textId="5ADB4FB3"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Informácie a komunikácia</w:t>
            </w:r>
          </w:p>
        </w:tc>
        <w:tc>
          <w:tcPr>
            <w:tcW w:w="940" w:type="dxa"/>
            <w:tcBorders>
              <w:top w:val="nil"/>
              <w:left w:val="nil"/>
              <w:bottom w:val="nil"/>
              <w:right w:val="nil"/>
            </w:tcBorders>
            <w:shd w:val="clear" w:color="auto" w:fill="auto"/>
            <w:noWrap/>
            <w:hideMark/>
          </w:tcPr>
          <w:p w14:paraId="360C0C48" w14:textId="4E9DBEB2"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073FE9AC" w14:textId="4AA7BE32"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39F411D9" w14:textId="2C58CB19"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635D8BAB" w14:textId="3A6F3524" w:rsidR="00FD6C1D" w:rsidRPr="009C6D5F" w:rsidRDefault="00FD6C1D" w:rsidP="00FD6C1D">
            <w:pPr>
              <w:spacing w:after="0"/>
              <w:jc w:val="right"/>
              <w:rPr>
                <w:color w:val="000000" w:themeColor="text1"/>
              </w:rPr>
            </w:pPr>
            <w:r w:rsidRPr="005912C9">
              <w:t>6</w:t>
            </w:r>
          </w:p>
        </w:tc>
        <w:tc>
          <w:tcPr>
            <w:tcW w:w="880" w:type="dxa"/>
            <w:tcBorders>
              <w:top w:val="nil"/>
              <w:left w:val="nil"/>
              <w:bottom w:val="nil"/>
              <w:right w:val="nil"/>
            </w:tcBorders>
            <w:shd w:val="clear" w:color="auto" w:fill="auto"/>
            <w:noWrap/>
            <w:hideMark/>
          </w:tcPr>
          <w:p w14:paraId="16C41729" w14:textId="2BE95262"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7BB932EB" w14:textId="6FE2F940" w:rsidR="00FD6C1D" w:rsidRPr="009C6D5F" w:rsidRDefault="00FD6C1D" w:rsidP="00FD6C1D">
            <w:pPr>
              <w:spacing w:after="0"/>
              <w:jc w:val="right"/>
              <w:rPr>
                <w:color w:val="000000" w:themeColor="text1"/>
              </w:rPr>
            </w:pPr>
            <w:r w:rsidRPr="005912C9">
              <w:t>5 056</w:t>
            </w:r>
          </w:p>
        </w:tc>
        <w:tc>
          <w:tcPr>
            <w:tcW w:w="900" w:type="dxa"/>
            <w:tcBorders>
              <w:top w:val="nil"/>
              <w:left w:val="nil"/>
              <w:bottom w:val="nil"/>
              <w:right w:val="nil"/>
            </w:tcBorders>
            <w:shd w:val="clear" w:color="auto" w:fill="auto"/>
            <w:noWrap/>
            <w:hideMark/>
          </w:tcPr>
          <w:p w14:paraId="0AE355F7" w14:textId="7F88274B" w:rsidR="00FD6C1D" w:rsidRPr="009C6D5F" w:rsidRDefault="00FD6C1D" w:rsidP="00FD6C1D">
            <w:pPr>
              <w:spacing w:after="0"/>
              <w:jc w:val="right"/>
              <w:rPr>
                <w:color w:val="000000" w:themeColor="text1"/>
              </w:rPr>
            </w:pPr>
            <w:r w:rsidRPr="005912C9">
              <w:t>900</w:t>
            </w:r>
          </w:p>
        </w:tc>
        <w:tc>
          <w:tcPr>
            <w:tcW w:w="1540" w:type="dxa"/>
            <w:tcBorders>
              <w:top w:val="nil"/>
              <w:left w:val="nil"/>
              <w:bottom w:val="nil"/>
              <w:right w:val="nil"/>
            </w:tcBorders>
            <w:shd w:val="clear" w:color="auto" w:fill="auto"/>
            <w:noWrap/>
            <w:hideMark/>
          </w:tcPr>
          <w:p w14:paraId="4E658A1E" w14:textId="4C91CB2D"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2870933E" w14:textId="136997F6" w:rsidR="00FD6C1D" w:rsidRPr="009C6D5F" w:rsidRDefault="00FD6C1D" w:rsidP="00FD6C1D">
            <w:pPr>
              <w:spacing w:after="0"/>
              <w:jc w:val="right"/>
              <w:rPr>
                <w:color w:val="000000" w:themeColor="text1"/>
              </w:rPr>
            </w:pPr>
            <w:r w:rsidRPr="005912C9">
              <w:t>234</w:t>
            </w:r>
          </w:p>
        </w:tc>
        <w:tc>
          <w:tcPr>
            <w:tcW w:w="1180" w:type="dxa"/>
            <w:tcBorders>
              <w:top w:val="nil"/>
              <w:left w:val="nil"/>
              <w:bottom w:val="nil"/>
              <w:right w:val="nil"/>
            </w:tcBorders>
            <w:shd w:val="clear" w:color="auto" w:fill="auto"/>
            <w:noWrap/>
            <w:hideMark/>
          </w:tcPr>
          <w:p w14:paraId="01CD6C0C" w14:textId="34A8DB5B"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40B6B684" w14:textId="46E705D8"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3C84BB99" w14:textId="238B68A9" w:rsidR="00FD6C1D" w:rsidRPr="009C6D5F" w:rsidRDefault="00FD6C1D" w:rsidP="00FD6C1D">
            <w:pPr>
              <w:spacing w:after="0"/>
              <w:jc w:val="right"/>
              <w:rPr>
                <w:color w:val="000000" w:themeColor="text1"/>
              </w:rPr>
            </w:pPr>
            <w:r w:rsidRPr="005912C9">
              <w:t>0</w:t>
            </w:r>
          </w:p>
        </w:tc>
      </w:tr>
      <w:tr w:rsidR="00FD6C1D" w:rsidRPr="009C6D5F" w14:paraId="08AAB30C" w14:textId="77777777" w:rsidTr="007C663B">
        <w:trPr>
          <w:trHeight w:val="252"/>
        </w:trPr>
        <w:tc>
          <w:tcPr>
            <w:tcW w:w="2960" w:type="dxa"/>
            <w:tcBorders>
              <w:top w:val="nil"/>
              <w:left w:val="nil"/>
              <w:bottom w:val="nil"/>
              <w:right w:val="nil"/>
            </w:tcBorders>
            <w:shd w:val="clear" w:color="auto" w:fill="auto"/>
            <w:vAlign w:val="center"/>
            <w:hideMark/>
          </w:tcPr>
          <w:p w14:paraId="4F2850AE" w14:textId="3243075C"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 xml:space="preserve">Finančné a poisťovacie činnosti </w:t>
            </w:r>
          </w:p>
        </w:tc>
        <w:tc>
          <w:tcPr>
            <w:tcW w:w="940" w:type="dxa"/>
            <w:tcBorders>
              <w:top w:val="nil"/>
              <w:left w:val="nil"/>
              <w:bottom w:val="nil"/>
              <w:right w:val="nil"/>
            </w:tcBorders>
            <w:shd w:val="clear" w:color="auto" w:fill="auto"/>
            <w:noWrap/>
            <w:hideMark/>
          </w:tcPr>
          <w:p w14:paraId="58AC03A4" w14:textId="0CE2075D" w:rsidR="00FD6C1D" w:rsidRPr="009C6D5F" w:rsidRDefault="00FD6C1D" w:rsidP="00FD6C1D">
            <w:pPr>
              <w:spacing w:after="0"/>
              <w:jc w:val="right"/>
              <w:rPr>
                <w:color w:val="000000" w:themeColor="text1"/>
              </w:rPr>
            </w:pPr>
            <w:r w:rsidRPr="005912C9">
              <w:t>93 359</w:t>
            </w:r>
          </w:p>
        </w:tc>
        <w:tc>
          <w:tcPr>
            <w:tcW w:w="1020" w:type="dxa"/>
            <w:tcBorders>
              <w:top w:val="nil"/>
              <w:left w:val="nil"/>
              <w:bottom w:val="nil"/>
              <w:right w:val="nil"/>
            </w:tcBorders>
            <w:shd w:val="clear" w:color="auto" w:fill="auto"/>
            <w:noWrap/>
            <w:hideMark/>
          </w:tcPr>
          <w:p w14:paraId="5A14A203" w14:textId="1D9B71E3"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64983B75" w14:textId="3A1CCB1D"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3F2DE6B3" w14:textId="52A01FCF" w:rsidR="00FD6C1D" w:rsidRPr="009C6D5F" w:rsidRDefault="00FD6C1D" w:rsidP="00FD6C1D">
            <w:pPr>
              <w:spacing w:after="0"/>
              <w:jc w:val="right"/>
              <w:rPr>
                <w:color w:val="000000" w:themeColor="text1"/>
              </w:rPr>
            </w:pPr>
            <w:r w:rsidRPr="005912C9">
              <w:t>6</w:t>
            </w:r>
          </w:p>
        </w:tc>
        <w:tc>
          <w:tcPr>
            <w:tcW w:w="880" w:type="dxa"/>
            <w:tcBorders>
              <w:top w:val="nil"/>
              <w:left w:val="nil"/>
              <w:bottom w:val="nil"/>
              <w:right w:val="nil"/>
            </w:tcBorders>
            <w:shd w:val="clear" w:color="auto" w:fill="auto"/>
            <w:noWrap/>
            <w:hideMark/>
          </w:tcPr>
          <w:p w14:paraId="5EF829C8" w14:textId="356BA307" w:rsidR="00FD6C1D" w:rsidRPr="009C6D5F" w:rsidRDefault="00FD6C1D" w:rsidP="00FD6C1D">
            <w:pPr>
              <w:spacing w:after="0"/>
              <w:jc w:val="right"/>
              <w:rPr>
                <w:color w:val="000000" w:themeColor="text1"/>
              </w:rPr>
            </w:pPr>
            <w:r w:rsidRPr="005912C9">
              <w:t>42 484</w:t>
            </w:r>
          </w:p>
        </w:tc>
        <w:tc>
          <w:tcPr>
            <w:tcW w:w="1200" w:type="dxa"/>
            <w:tcBorders>
              <w:top w:val="nil"/>
              <w:left w:val="nil"/>
              <w:bottom w:val="nil"/>
              <w:right w:val="nil"/>
            </w:tcBorders>
            <w:shd w:val="clear" w:color="auto" w:fill="auto"/>
            <w:noWrap/>
            <w:hideMark/>
          </w:tcPr>
          <w:p w14:paraId="7167C5CE" w14:textId="05CCC2C7" w:rsidR="00FD6C1D" w:rsidRPr="009C6D5F" w:rsidRDefault="00FD6C1D" w:rsidP="00FD6C1D">
            <w:pPr>
              <w:spacing w:after="0"/>
              <w:jc w:val="right"/>
              <w:rPr>
                <w:color w:val="000000" w:themeColor="text1"/>
              </w:rPr>
            </w:pPr>
            <w:r w:rsidRPr="005912C9">
              <w:t>123</w:t>
            </w:r>
          </w:p>
        </w:tc>
        <w:tc>
          <w:tcPr>
            <w:tcW w:w="900" w:type="dxa"/>
            <w:tcBorders>
              <w:top w:val="nil"/>
              <w:left w:val="nil"/>
              <w:bottom w:val="nil"/>
              <w:right w:val="nil"/>
            </w:tcBorders>
            <w:shd w:val="clear" w:color="auto" w:fill="auto"/>
            <w:noWrap/>
            <w:hideMark/>
          </w:tcPr>
          <w:p w14:paraId="351C5C1C" w14:textId="3EF48A46" w:rsidR="00FD6C1D" w:rsidRPr="009C6D5F" w:rsidRDefault="00FD6C1D" w:rsidP="00FD6C1D">
            <w:pPr>
              <w:spacing w:after="0"/>
              <w:jc w:val="right"/>
              <w:rPr>
                <w:color w:val="000000" w:themeColor="text1"/>
              </w:rPr>
            </w:pPr>
            <w:r w:rsidRPr="005912C9">
              <w:t>117</w:t>
            </w:r>
          </w:p>
        </w:tc>
        <w:tc>
          <w:tcPr>
            <w:tcW w:w="1540" w:type="dxa"/>
            <w:tcBorders>
              <w:top w:val="nil"/>
              <w:left w:val="nil"/>
              <w:bottom w:val="nil"/>
              <w:right w:val="nil"/>
            </w:tcBorders>
            <w:shd w:val="clear" w:color="auto" w:fill="auto"/>
            <w:noWrap/>
            <w:hideMark/>
          </w:tcPr>
          <w:p w14:paraId="1C0663C8" w14:textId="5924494E"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3C2EBFAE" w14:textId="55F301FC" w:rsidR="00FD6C1D" w:rsidRPr="009C6D5F" w:rsidRDefault="00FD6C1D" w:rsidP="00FD6C1D">
            <w:pPr>
              <w:spacing w:after="0"/>
              <w:jc w:val="right"/>
              <w:rPr>
                <w:color w:val="000000" w:themeColor="text1"/>
              </w:rPr>
            </w:pPr>
            <w:r w:rsidRPr="005912C9">
              <w:t>20</w:t>
            </w:r>
          </w:p>
        </w:tc>
        <w:tc>
          <w:tcPr>
            <w:tcW w:w="1180" w:type="dxa"/>
            <w:tcBorders>
              <w:top w:val="nil"/>
              <w:left w:val="nil"/>
              <w:bottom w:val="nil"/>
              <w:right w:val="nil"/>
            </w:tcBorders>
            <w:shd w:val="clear" w:color="auto" w:fill="auto"/>
            <w:noWrap/>
            <w:hideMark/>
          </w:tcPr>
          <w:p w14:paraId="687C4FC0" w14:textId="2313311A"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040C54EA" w14:textId="303024EB" w:rsidR="00FD6C1D" w:rsidRPr="009C6D5F" w:rsidRDefault="00FD6C1D" w:rsidP="00FD6C1D">
            <w:pPr>
              <w:spacing w:after="0"/>
              <w:jc w:val="right"/>
              <w:rPr>
                <w:color w:val="000000" w:themeColor="text1"/>
              </w:rPr>
            </w:pPr>
            <w:r w:rsidRPr="005912C9">
              <w:t>1 133</w:t>
            </w:r>
          </w:p>
        </w:tc>
        <w:tc>
          <w:tcPr>
            <w:tcW w:w="900" w:type="dxa"/>
            <w:tcBorders>
              <w:top w:val="nil"/>
              <w:left w:val="nil"/>
              <w:bottom w:val="nil"/>
              <w:right w:val="nil"/>
            </w:tcBorders>
            <w:shd w:val="clear" w:color="auto" w:fill="auto"/>
            <w:noWrap/>
            <w:hideMark/>
          </w:tcPr>
          <w:p w14:paraId="68225884" w14:textId="57FEB67B" w:rsidR="00FD6C1D" w:rsidRPr="009C6D5F" w:rsidRDefault="00FD6C1D" w:rsidP="00FD6C1D">
            <w:pPr>
              <w:spacing w:after="0"/>
              <w:jc w:val="right"/>
              <w:rPr>
                <w:color w:val="000000" w:themeColor="text1"/>
              </w:rPr>
            </w:pPr>
            <w:r w:rsidRPr="005912C9">
              <w:t>0</w:t>
            </w:r>
          </w:p>
        </w:tc>
      </w:tr>
      <w:tr w:rsidR="00FD6C1D" w:rsidRPr="009C6D5F" w14:paraId="3FBC2398" w14:textId="77777777" w:rsidTr="007C663B">
        <w:trPr>
          <w:trHeight w:val="252"/>
        </w:trPr>
        <w:tc>
          <w:tcPr>
            <w:tcW w:w="2960" w:type="dxa"/>
            <w:tcBorders>
              <w:top w:val="nil"/>
              <w:left w:val="nil"/>
              <w:bottom w:val="nil"/>
              <w:right w:val="nil"/>
            </w:tcBorders>
            <w:shd w:val="clear" w:color="auto" w:fill="auto"/>
            <w:vAlign w:val="center"/>
            <w:hideMark/>
          </w:tcPr>
          <w:p w14:paraId="17A386D7" w14:textId="142EE358"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Činnosti v oblasti nehnuteľností</w:t>
            </w:r>
          </w:p>
        </w:tc>
        <w:tc>
          <w:tcPr>
            <w:tcW w:w="940" w:type="dxa"/>
            <w:tcBorders>
              <w:top w:val="nil"/>
              <w:left w:val="nil"/>
              <w:bottom w:val="nil"/>
              <w:right w:val="nil"/>
            </w:tcBorders>
            <w:shd w:val="clear" w:color="auto" w:fill="auto"/>
            <w:noWrap/>
            <w:hideMark/>
          </w:tcPr>
          <w:p w14:paraId="77789169" w14:textId="09DED975" w:rsidR="00FD6C1D" w:rsidRPr="009C6D5F" w:rsidRDefault="00FD6C1D" w:rsidP="00FD6C1D">
            <w:pPr>
              <w:spacing w:after="0"/>
              <w:jc w:val="right"/>
              <w:rPr>
                <w:color w:val="000000" w:themeColor="text1"/>
              </w:rPr>
            </w:pPr>
            <w:r w:rsidRPr="005912C9">
              <w:t>372</w:t>
            </w:r>
          </w:p>
        </w:tc>
        <w:tc>
          <w:tcPr>
            <w:tcW w:w="1020" w:type="dxa"/>
            <w:tcBorders>
              <w:top w:val="nil"/>
              <w:left w:val="nil"/>
              <w:bottom w:val="nil"/>
              <w:right w:val="nil"/>
            </w:tcBorders>
            <w:shd w:val="clear" w:color="auto" w:fill="auto"/>
            <w:noWrap/>
            <w:hideMark/>
          </w:tcPr>
          <w:p w14:paraId="676F68E5" w14:textId="1D121665"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38180DDB" w14:textId="307EA39A"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0DD85D48" w14:textId="775F7067" w:rsidR="00FD6C1D" w:rsidRPr="009C6D5F" w:rsidRDefault="00FD6C1D" w:rsidP="00FD6C1D">
            <w:pPr>
              <w:spacing w:after="0"/>
              <w:jc w:val="right"/>
              <w:rPr>
                <w:color w:val="000000" w:themeColor="text1"/>
              </w:rPr>
            </w:pPr>
            <w:r w:rsidRPr="005912C9">
              <w:t>3</w:t>
            </w:r>
          </w:p>
        </w:tc>
        <w:tc>
          <w:tcPr>
            <w:tcW w:w="880" w:type="dxa"/>
            <w:tcBorders>
              <w:top w:val="nil"/>
              <w:left w:val="nil"/>
              <w:bottom w:val="nil"/>
              <w:right w:val="nil"/>
            </w:tcBorders>
            <w:shd w:val="clear" w:color="auto" w:fill="auto"/>
            <w:noWrap/>
            <w:hideMark/>
          </w:tcPr>
          <w:p w14:paraId="407F5B03" w14:textId="68871710"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70D36358" w14:textId="2EECB29A" w:rsidR="00FD6C1D" w:rsidRPr="009C6D5F" w:rsidRDefault="00FD6C1D" w:rsidP="00FD6C1D">
            <w:pPr>
              <w:spacing w:after="0"/>
              <w:jc w:val="right"/>
              <w:rPr>
                <w:color w:val="000000" w:themeColor="text1"/>
              </w:rPr>
            </w:pPr>
            <w:r w:rsidRPr="005912C9">
              <w:t>45 726</w:t>
            </w:r>
          </w:p>
        </w:tc>
        <w:tc>
          <w:tcPr>
            <w:tcW w:w="900" w:type="dxa"/>
            <w:tcBorders>
              <w:top w:val="nil"/>
              <w:left w:val="nil"/>
              <w:bottom w:val="nil"/>
              <w:right w:val="nil"/>
            </w:tcBorders>
            <w:shd w:val="clear" w:color="auto" w:fill="auto"/>
            <w:noWrap/>
            <w:hideMark/>
          </w:tcPr>
          <w:p w14:paraId="78971E54" w14:textId="2FDEC041" w:rsidR="00FD6C1D" w:rsidRPr="009C6D5F" w:rsidRDefault="00FD6C1D" w:rsidP="00FD6C1D">
            <w:pPr>
              <w:spacing w:after="0"/>
              <w:jc w:val="right"/>
              <w:rPr>
                <w:color w:val="000000" w:themeColor="text1"/>
              </w:rPr>
            </w:pPr>
            <w:r w:rsidRPr="005912C9">
              <w:t>35 989</w:t>
            </w:r>
          </w:p>
        </w:tc>
        <w:tc>
          <w:tcPr>
            <w:tcW w:w="1540" w:type="dxa"/>
            <w:tcBorders>
              <w:top w:val="nil"/>
              <w:left w:val="nil"/>
              <w:bottom w:val="nil"/>
              <w:right w:val="nil"/>
            </w:tcBorders>
            <w:shd w:val="clear" w:color="auto" w:fill="auto"/>
            <w:noWrap/>
            <w:hideMark/>
          </w:tcPr>
          <w:p w14:paraId="587363FE" w14:textId="16C66A4A" w:rsidR="00FD6C1D" w:rsidRPr="009C6D5F" w:rsidRDefault="00FD6C1D" w:rsidP="00FD6C1D">
            <w:pPr>
              <w:spacing w:after="0"/>
              <w:jc w:val="right"/>
              <w:rPr>
                <w:color w:val="000000" w:themeColor="text1"/>
              </w:rPr>
            </w:pPr>
            <w:r w:rsidRPr="005912C9">
              <w:t>275</w:t>
            </w:r>
          </w:p>
        </w:tc>
        <w:tc>
          <w:tcPr>
            <w:tcW w:w="1020" w:type="dxa"/>
            <w:tcBorders>
              <w:top w:val="nil"/>
              <w:left w:val="nil"/>
              <w:bottom w:val="nil"/>
              <w:right w:val="nil"/>
            </w:tcBorders>
            <w:shd w:val="clear" w:color="auto" w:fill="auto"/>
            <w:noWrap/>
            <w:hideMark/>
          </w:tcPr>
          <w:p w14:paraId="5DCFDB44" w14:textId="701687F6" w:rsidR="00FD6C1D" w:rsidRPr="009C6D5F" w:rsidRDefault="00FD6C1D" w:rsidP="00FD6C1D">
            <w:pPr>
              <w:spacing w:after="0"/>
              <w:jc w:val="right"/>
              <w:rPr>
                <w:color w:val="000000" w:themeColor="text1"/>
              </w:rPr>
            </w:pPr>
            <w:r w:rsidRPr="005912C9">
              <w:t>138</w:t>
            </w:r>
          </w:p>
        </w:tc>
        <w:tc>
          <w:tcPr>
            <w:tcW w:w="1180" w:type="dxa"/>
            <w:tcBorders>
              <w:top w:val="nil"/>
              <w:left w:val="nil"/>
              <w:bottom w:val="nil"/>
              <w:right w:val="nil"/>
            </w:tcBorders>
            <w:shd w:val="clear" w:color="auto" w:fill="auto"/>
            <w:noWrap/>
            <w:hideMark/>
          </w:tcPr>
          <w:p w14:paraId="0A1BB14C" w14:textId="3C134145" w:rsidR="00FD6C1D" w:rsidRPr="009C6D5F" w:rsidRDefault="00FD6C1D" w:rsidP="00FD6C1D">
            <w:pPr>
              <w:spacing w:after="0"/>
              <w:jc w:val="right"/>
              <w:rPr>
                <w:color w:val="000000" w:themeColor="text1"/>
              </w:rPr>
            </w:pPr>
            <w:r w:rsidRPr="005912C9">
              <w:t>701</w:t>
            </w:r>
          </w:p>
        </w:tc>
        <w:tc>
          <w:tcPr>
            <w:tcW w:w="1180" w:type="dxa"/>
            <w:tcBorders>
              <w:top w:val="nil"/>
              <w:left w:val="nil"/>
              <w:bottom w:val="nil"/>
              <w:right w:val="nil"/>
            </w:tcBorders>
            <w:shd w:val="clear" w:color="auto" w:fill="auto"/>
            <w:noWrap/>
            <w:hideMark/>
          </w:tcPr>
          <w:p w14:paraId="636D722B" w14:textId="464F9E03"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78C1D959" w14:textId="45FA8BB2" w:rsidR="00FD6C1D" w:rsidRPr="009C6D5F" w:rsidRDefault="00FD6C1D" w:rsidP="00FD6C1D">
            <w:pPr>
              <w:spacing w:after="0"/>
              <w:jc w:val="right"/>
              <w:rPr>
                <w:color w:val="000000" w:themeColor="text1"/>
              </w:rPr>
            </w:pPr>
            <w:r w:rsidRPr="005912C9">
              <w:t>0</w:t>
            </w:r>
          </w:p>
        </w:tc>
      </w:tr>
      <w:tr w:rsidR="00FD6C1D" w:rsidRPr="009C6D5F" w14:paraId="7905A5AA" w14:textId="77777777" w:rsidTr="007C663B">
        <w:trPr>
          <w:trHeight w:val="252"/>
        </w:trPr>
        <w:tc>
          <w:tcPr>
            <w:tcW w:w="2960" w:type="dxa"/>
            <w:tcBorders>
              <w:top w:val="nil"/>
              <w:left w:val="nil"/>
              <w:bottom w:val="nil"/>
              <w:right w:val="nil"/>
            </w:tcBorders>
            <w:shd w:val="clear" w:color="auto" w:fill="auto"/>
            <w:vAlign w:val="center"/>
            <w:hideMark/>
          </w:tcPr>
          <w:p w14:paraId="2FAE463A" w14:textId="26A0529E"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Odborné, vedecké a technické činnosti</w:t>
            </w:r>
          </w:p>
        </w:tc>
        <w:tc>
          <w:tcPr>
            <w:tcW w:w="940" w:type="dxa"/>
            <w:tcBorders>
              <w:top w:val="nil"/>
              <w:left w:val="nil"/>
              <w:bottom w:val="nil"/>
              <w:right w:val="nil"/>
            </w:tcBorders>
            <w:shd w:val="clear" w:color="auto" w:fill="auto"/>
            <w:noWrap/>
            <w:hideMark/>
          </w:tcPr>
          <w:p w14:paraId="4BC8E7E6" w14:textId="73771166" w:rsidR="00FD6C1D" w:rsidRPr="009C6D5F" w:rsidRDefault="00FD6C1D" w:rsidP="00FD6C1D">
            <w:pPr>
              <w:spacing w:after="0"/>
              <w:jc w:val="right"/>
              <w:rPr>
                <w:color w:val="000000" w:themeColor="text1"/>
              </w:rPr>
            </w:pPr>
            <w:r w:rsidRPr="005912C9">
              <w:t>197</w:t>
            </w:r>
          </w:p>
        </w:tc>
        <w:tc>
          <w:tcPr>
            <w:tcW w:w="1020" w:type="dxa"/>
            <w:tcBorders>
              <w:top w:val="nil"/>
              <w:left w:val="nil"/>
              <w:bottom w:val="nil"/>
              <w:right w:val="nil"/>
            </w:tcBorders>
            <w:shd w:val="clear" w:color="auto" w:fill="auto"/>
            <w:noWrap/>
            <w:hideMark/>
          </w:tcPr>
          <w:p w14:paraId="757551AC" w14:textId="633476A4"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30CB1BA3" w14:textId="3031EE09"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7AF00245" w14:textId="4D6E0E9B" w:rsidR="00FD6C1D" w:rsidRPr="009C6D5F" w:rsidRDefault="00FD6C1D" w:rsidP="00FD6C1D">
            <w:pPr>
              <w:spacing w:after="0"/>
              <w:jc w:val="right"/>
              <w:rPr>
                <w:color w:val="000000" w:themeColor="text1"/>
              </w:rPr>
            </w:pPr>
            <w:r w:rsidRPr="005912C9">
              <w:t>47</w:t>
            </w:r>
          </w:p>
        </w:tc>
        <w:tc>
          <w:tcPr>
            <w:tcW w:w="880" w:type="dxa"/>
            <w:tcBorders>
              <w:top w:val="nil"/>
              <w:left w:val="nil"/>
              <w:bottom w:val="nil"/>
              <w:right w:val="nil"/>
            </w:tcBorders>
            <w:shd w:val="clear" w:color="auto" w:fill="auto"/>
            <w:noWrap/>
            <w:hideMark/>
          </w:tcPr>
          <w:p w14:paraId="64940AE6" w14:textId="51EFEDF0"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1E7300E2" w14:textId="07ADC340" w:rsidR="00FD6C1D" w:rsidRPr="009C6D5F" w:rsidRDefault="00FD6C1D" w:rsidP="00FD6C1D">
            <w:pPr>
              <w:spacing w:after="0"/>
              <w:jc w:val="right"/>
              <w:rPr>
                <w:color w:val="000000" w:themeColor="text1"/>
              </w:rPr>
            </w:pPr>
            <w:r w:rsidRPr="005912C9">
              <w:t>8 946</w:t>
            </w:r>
          </w:p>
        </w:tc>
        <w:tc>
          <w:tcPr>
            <w:tcW w:w="900" w:type="dxa"/>
            <w:tcBorders>
              <w:top w:val="nil"/>
              <w:left w:val="nil"/>
              <w:bottom w:val="nil"/>
              <w:right w:val="nil"/>
            </w:tcBorders>
            <w:shd w:val="clear" w:color="auto" w:fill="auto"/>
            <w:noWrap/>
            <w:hideMark/>
          </w:tcPr>
          <w:p w14:paraId="3CF5A416" w14:textId="0E3B32E7" w:rsidR="00FD6C1D" w:rsidRPr="009C6D5F" w:rsidRDefault="00FD6C1D" w:rsidP="00FD6C1D">
            <w:pPr>
              <w:spacing w:after="0"/>
              <w:jc w:val="right"/>
              <w:rPr>
                <w:color w:val="000000" w:themeColor="text1"/>
              </w:rPr>
            </w:pPr>
            <w:r w:rsidRPr="005912C9">
              <w:t>2 959</w:t>
            </w:r>
          </w:p>
        </w:tc>
        <w:tc>
          <w:tcPr>
            <w:tcW w:w="1540" w:type="dxa"/>
            <w:tcBorders>
              <w:top w:val="nil"/>
              <w:left w:val="nil"/>
              <w:bottom w:val="nil"/>
              <w:right w:val="nil"/>
            </w:tcBorders>
            <w:shd w:val="clear" w:color="auto" w:fill="auto"/>
            <w:noWrap/>
            <w:hideMark/>
          </w:tcPr>
          <w:p w14:paraId="36A4AC7F" w14:textId="2EE1ECEF" w:rsidR="00FD6C1D" w:rsidRPr="009C6D5F" w:rsidRDefault="00FD6C1D" w:rsidP="00FD6C1D">
            <w:pPr>
              <w:spacing w:after="0"/>
              <w:jc w:val="right"/>
              <w:rPr>
                <w:color w:val="000000" w:themeColor="text1"/>
              </w:rPr>
            </w:pPr>
            <w:r w:rsidRPr="005912C9">
              <w:t>6 139</w:t>
            </w:r>
          </w:p>
        </w:tc>
        <w:tc>
          <w:tcPr>
            <w:tcW w:w="1020" w:type="dxa"/>
            <w:tcBorders>
              <w:top w:val="nil"/>
              <w:left w:val="nil"/>
              <w:bottom w:val="nil"/>
              <w:right w:val="nil"/>
            </w:tcBorders>
            <w:shd w:val="clear" w:color="auto" w:fill="auto"/>
            <w:noWrap/>
            <w:hideMark/>
          </w:tcPr>
          <w:p w14:paraId="667A4912" w14:textId="63525D91" w:rsidR="00FD6C1D" w:rsidRPr="009C6D5F" w:rsidRDefault="00FD6C1D" w:rsidP="00FD6C1D">
            <w:pPr>
              <w:spacing w:after="0"/>
              <w:jc w:val="right"/>
              <w:rPr>
                <w:color w:val="000000" w:themeColor="text1"/>
              </w:rPr>
            </w:pPr>
            <w:r w:rsidRPr="005912C9">
              <w:t>493</w:t>
            </w:r>
          </w:p>
        </w:tc>
        <w:tc>
          <w:tcPr>
            <w:tcW w:w="1180" w:type="dxa"/>
            <w:tcBorders>
              <w:top w:val="nil"/>
              <w:left w:val="nil"/>
              <w:bottom w:val="nil"/>
              <w:right w:val="nil"/>
            </w:tcBorders>
            <w:shd w:val="clear" w:color="auto" w:fill="auto"/>
            <w:noWrap/>
            <w:hideMark/>
          </w:tcPr>
          <w:p w14:paraId="7C521592" w14:textId="486F066F" w:rsidR="00FD6C1D" w:rsidRPr="009C6D5F" w:rsidRDefault="00FD6C1D" w:rsidP="00FD6C1D">
            <w:pPr>
              <w:spacing w:after="0"/>
              <w:jc w:val="right"/>
              <w:rPr>
                <w:color w:val="000000" w:themeColor="text1"/>
              </w:rPr>
            </w:pPr>
            <w:r w:rsidRPr="005912C9">
              <w:t>851</w:t>
            </w:r>
          </w:p>
        </w:tc>
        <w:tc>
          <w:tcPr>
            <w:tcW w:w="1180" w:type="dxa"/>
            <w:tcBorders>
              <w:top w:val="nil"/>
              <w:left w:val="nil"/>
              <w:bottom w:val="nil"/>
              <w:right w:val="nil"/>
            </w:tcBorders>
            <w:shd w:val="clear" w:color="auto" w:fill="auto"/>
            <w:noWrap/>
            <w:hideMark/>
          </w:tcPr>
          <w:p w14:paraId="741280AA" w14:textId="23527B62"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04DEF911" w14:textId="6DD871CF" w:rsidR="00FD6C1D" w:rsidRPr="009C6D5F" w:rsidRDefault="00FD6C1D" w:rsidP="00FD6C1D">
            <w:pPr>
              <w:spacing w:after="0"/>
              <w:jc w:val="right"/>
              <w:rPr>
                <w:color w:val="000000" w:themeColor="text1"/>
              </w:rPr>
            </w:pPr>
            <w:r w:rsidRPr="005912C9">
              <w:t>0</w:t>
            </w:r>
          </w:p>
        </w:tc>
      </w:tr>
      <w:tr w:rsidR="00FD6C1D" w:rsidRPr="009C6D5F" w14:paraId="35FE96CF" w14:textId="77777777" w:rsidTr="007C663B">
        <w:trPr>
          <w:trHeight w:val="252"/>
        </w:trPr>
        <w:tc>
          <w:tcPr>
            <w:tcW w:w="2960" w:type="dxa"/>
            <w:tcBorders>
              <w:top w:val="nil"/>
              <w:left w:val="nil"/>
              <w:bottom w:val="nil"/>
              <w:right w:val="nil"/>
            </w:tcBorders>
            <w:shd w:val="clear" w:color="auto" w:fill="auto"/>
            <w:vAlign w:val="center"/>
            <w:hideMark/>
          </w:tcPr>
          <w:p w14:paraId="68B15634" w14:textId="6518313D"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Administratívne a podporné služby</w:t>
            </w:r>
          </w:p>
        </w:tc>
        <w:tc>
          <w:tcPr>
            <w:tcW w:w="940" w:type="dxa"/>
            <w:tcBorders>
              <w:top w:val="nil"/>
              <w:left w:val="nil"/>
              <w:bottom w:val="nil"/>
              <w:right w:val="nil"/>
            </w:tcBorders>
            <w:shd w:val="clear" w:color="auto" w:fill="auto"/>
            <w:noWrap/>
            <w:hideMark/>
          </w:tcPr>
          <w:p w14:paraId="7644F502" w14:textId="5B38D68B" w:rsidR="00FD6C1D" w:rsidRPr="009C6D5F" w:rsidRDefault="00FD6C1D" w:rsidP="00FD6C1D">
            <w:pPr>
              <w:spacing w:after="0"/>
              <w:jc w:val="right"/>
              <w:rPr>
                <w:color w:val="000000" w:themeColor="text1"/>
              </w:rPr>
            </w:pPr>
            <w:r w:rsidRPr="005912C9">
              <w:t>137</w:t>
            </w:r>
          </w:p>
        </w:tc>
        <w:tc>
          <w:tcPr>
            <w:tcW w:w="1020" w:type="dxa"/>
            <w:tcBorders>
              <w:top w:val="nil"/>
              <w:left w:val="nil"/>
              <w:bottom w:val="nil"/>
              <w:right w:val="nil"/>
            </w:tcBorders>
            <w:shd w:val="clear" w:color="auto" w:fill="auto"/>
            <w:noWrap/>
            <w:hideMark/>
          </w:tcPr>
          <w:p w14:paraId="4E78520D" w14:textId="395CE7A9"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78F08E2B" w14:textId="1A8379F7"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3F8AF278" w14:textId="07DFC7C8" w:rsidR="00FD6C1D" w:rsidRPr="009C6D5F" w:rsidRDefault="00FD6C1D" w:rsidP="00FD6C1D">
            <w:pPr>
              <w:spacing w:after="0"/>
              <w:jc w:val="right"/>
              <w:rPr>
                <w:color w:val="000000" w:themeColor="text1"/>
              </w:rPr>
            </w:pPr>
            <w:r w:rsidRPr="005912C9">
              <w:t>30</w:t>
            </w:r>
          </w:p>
        </w:tc>
        <w:tc>
          <w:tcPr>
            <w:tcW w:w="880" w:type="dxa"/>
            <w:tcBorders>
              <w:top w:val="nil"/>
              <w:left w:val="nil"/>
              <w:bottom w:val="nil"/>
              <w:right w:val="nil"/>
            </w:tcBorders>
            <w:shd w:val="clear" w:color="auto" w:fill="auto"/>
            <w:noWrap/>
            <w:hideMark/>
          </w:tcPr>
          <w:p w14:paraId="5084C055" w14:textId="2B5714EF"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0FD35573" w14:textId="6D9B1652" w:rsidR="00FD6C1D" w:rsidRPr="009C6D5F" w:rsidRDefault="00FD6C1D" w:rsidP="00FD6C1D">
            <w:pPr>
              <w:spacing w:after="0"/>
              <w:jc w:val="right"/>
              <w:rPr>
                <w:color w:val="000000" w:themeColor="text1"/>
              </w:rPr>
            </w:pPr>
            <w:r w:rsidRPr="005912C9">
              <w:t>6 531</w:t>
            </w:r>
          </w:p>
        </w:tc>
        <w:tc>
          <w:tcPr>
            <w:tcW w:w="900" w:type="dxa"/>
            <w:tcBorders>
              <w:top w:val="nil"/>
              <w:left w:val="nil"/>
              <w:bottom w:val="nil"/>
              <w:right w:val="nil"/>
            </w:tcBorders>
            <w:shd w:val="clear" w:color="auto" w:fill="auto"/>
            <w:noWrap/>
            <w:hideMark/>
          </w:tcPr>
          <w:p w14:paraId="3981C4B7" w14:textId="2BCA91FE" w:rsidR="00FD6C1D" w:rsidRPr="009C6D5F" w:rsidRDefault="00FD6C1D" w:rsidP="00FD6C1D">
            <w:pPr>
              <w:spacing w:after="0"/>
              <w:jc w:val="right"/>
              <w:rPr>
                <w:color w:val="000000" w:themeColor="text1"/>
              </w:rPr>
            </w:pPr>
            <w:r w:rsidRPr="005912C9">
              <w:t>3 848</w:t>
            </w:r>
          </w:p>
        </w:tc>
        <w:tc>
          <w:tcPr>
            <w:tcW w:w="1540" w:type="dxa"/>
            <w:tcBorders>
              <w:top w:val="nil"/>
              <w:left w:val="nil"/>
              <w:bottom w:val="nil"/>
              <w:right w:val="nil"/>
            </w:tcBorders>
            <w:shd w:val="clear" w:color="auto" w:fill="auto"/>
            <w:noWrap/>
            <w:hideMark/>
          </w:tcPr>
          <w:p w14:paraId="42647334" w14:textId="24ADBB87" w:rsidR="00FD6C1D" w:rsidRPr="009C6D5F" w:rsidRDefault="00FD6C1D" w:rsidP="00FD6C1D">
            <w:pPr>
              <w:spacing w:after="0"/>
              <w:jc w:val="right"/>
              <w:rPr>
                <w:color w:val="000000" w:themeColor="text1"/>
              </w:rPr>
            </w:pPr>
            <w:r w:rsidRPr="005912C9">
              <w:t>677</w:t>
            </w:r>
          </w:p>
        </w:tc>
        <w:tc>
          <w:tcPr>
            <w:tcW w:w="1020" w:type="dxa"/>
            <w:tcBorders>
              <w:top w:val="nil"/>
              <w:left w:val="nil"/>
              <w:bottom w:val="nil"/>
              <w:right w:val="nil"/>
            </w:tcBorders>
            <w:shd w:val="clear" w:color="auto" w:fill="auto"/>
            <w:noWrap/>
            <w:hideMark/>
          </w:tcPr>
          <w:p w14:paraId="22A459C0" w14:textId="6E7D4201" w:rsidR="00FD6C1D" w:rsidRPr="009C6D5F" w:rsidRDefault="00FD6C1D" w:rsidP="00FD6C1D">
            <w:pPr>
              <w:spacing w:after="0"/>
              <w:jc w:val="right"/>
              <w:rPr>
                <w:color w:val="000000" w:themeColor="text1"/>
              </w:rPr>
            </w:pPr>
            <w:r w:rsidRPr="005912C9">
              <w:t>107</w:t>
            </w:r>
          </w:p>
        </w:tc>
        <w:tc>
          <w:tcPr>
            <w:tcW w:w="1180" w:type="dxa"/>
            <w:tcBorders>
              <w:top w:val="nil"/>
              <w:left w:val="nil"/>
              <w:bottom w:val="nil"/>
              <w:right w:val="nil"/>
            </w:tcBorders>
            <w:shd w:val="clear" w:color="auto" w:fill="auto"/>
            <w:noWrap/>
            <w:hideMark/>
          </w:tcPr>
          <w:p w14:paraId="1613D5A6" w14:textId="55F46239"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11F7EBF1" w14:textId="25283BF9"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6F233D96" w14:textId="52B8B588" w:rsidR="00FD6C1D" w:rsidRPr="009C6D5F" w:rsidRDefault="00FD6C1D" w:rsidP="00FD6C1D">
            <w:pPr>
              <w:spacing w:after="0"/>
              <w:jc w:val="right"/>
              <w:rPr>
                <w:color w:val="000000" w:themeColor="text1"/>
              </w:rPr>
            </w:pPr>
            <w:r w:rsidRPr="005912C9">
              <w:t>0</w:t>
            </w:r>
          </w:p>
        </w:tc>
      </w:tr>
      <w:tr w:rsidR="00FD6C1D" w:rsidRPr="009C6D5F" w14:paraId="794BD629" w14:textId="77777777" w:rsidTr="007C663B">
        <w:trPr>
          <w:trHeight w:val="252"/>
        </w:trPr>
        <w:tc>
          <w:tcPr>
            <w:tcW w:w="2960" w:type="dxa"/>
            <w:tcBorders>
              <w:top w:val="nil"/>
              <w:left w:val="nil"/>
              <w:bottom w:val="nil"/>
              <w:right w:val="nil"/>
            </w:tcBorders>
            <w:shd w:val="clear" w:color="auto" w:fill="auto"/>
            <w:vAlign w:val="center"/>
            <w:hideMark/>
          </w:tcPr>
          <w:p w14:paraId="02EC4BA9" w14:textId="0AC31D80"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Verejná správa a obrana</w:t>
            </w:r>
          </w:p>
        </w:tc>
        <w:tc>
          <w:tcPr>
            <w:tcW w:w="940" w:type="dxa"/>
            <w:tcBorders>
              <w:top w:val="nil"/>
              <w:left w:val="nil"/>
              <w:bottom w:val="nil"/>
              <w:right w:val="nil"/>
            </w:tcBorders>
            <w:shd w:val="clear" w:color="auto" w:fill="auto"/>
            <w:noWrap/>
            <w:hideMark/>
          </w:tcPr>
          <w:p w14:paraId="3E1F384F" w14:textId="427D5872" w:rsidR="00FD6C1D" w:rsidRPr="009C6D5F" w:rsidRDefault="00FD6C1D" w:rsidP="00FD6C1D">
            <w:pPr>
              <w:spacing w:after="0"/>
              <w:jc w:val="right"/>
              <w:rPr>
                <w:color w:val="000000" w:themeColor="text1"/>
              </w:rPr>
            </w:pPr>
            <w:r w:rsidRPr="005912C9">
              <w:t>86 641</w:t>
            </w:r>
          </w:p>
        </w:tc>
        <w:tc>
          <w:tcPr>
            <w:tcW w:w="1020" w:type="dxa"/>
            <w:tcBorders>
              <w:top w:val="nil"/>
              <w:left w:val="nil"/>
              <w:bottom w:val="nil"/>
              <w:right w:val="nil"/>
            </w:tcBorders>
            <w:shd w:val="clear" w:color="auto" w:fill="auto"/>
            <w:noWrap/>
            <w:hideMark/>
          </w:tcPr>
          <w:p w14:paraId="4EC00518" w14:textId="4AA1F381" w:rsidR="00FD6C1D" w:rsidRPr="009C6D5F" w:rsidRDefault="00FD6C1D" w:rsidP="00FD6C1D">
            <w:pPr>
              <w:spacing w:after="0"/>
              <w:jc w:val="right"/>
              <w:rPr>
                <w:color w:val="000000" w:themeColor="text1"/>
              </w:rPr>
            </w:pPr>
            <w:r w:rsidRPr="005912C9">
              <w:t>19 953</w:t>
            </w:r>
          </w:p>
        </w:tc>
        <w:tc>
          <w:tcPr>
            <w:tcW w:w="900" w:type="dxa"/>
            <w:tcBorders>
              <w:top w:val="nil"/>
              <w:left w:val="nil"/>
              <w:bottom w:val="nil"/>
              <w:right w:val="nil"/>
            </w:tcBorders>
            <w:shd w:val="clear" w:color="auto" w:fill="auto"/>
            <w:noWrap/>
            <w:hideMark/>
          </w:tcPr>
          <w:p w14:paraId="379044C2" w14:textId="32DC7055"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34AA948E" w14:textId="7ACCD16C" w:rsidR="00FD6C1D" w:rsidRPr="009C6D5F" w:rsidRDefault="00FD6C1D" w:rsidP="00FD6C1D">
            <w:pPr>
              <w:spacing w:after="0"/>
              <w:jc w:val="right"/>
              <w:rPr>
                <w:color w:val="000000" w:themeColor="text1"/>
              </w:rPr>
            </w:pPr>
            <w:r w:rsidRPr="005912C9">
              <w:t>0</w:t>
            </w:r>
          </w:p>
        </w:tc>
        <w:tc>
          <w:tcPr>
            <w:tcW w:w="880" w:type="dxa"/>
            <w:tcBorders>
              <w:top w:val="nil"/>
              <w:left w:val="nil"/>
              <w:bottom w:val="nil"/>
              <w:right w:val="nil"/>
            </w:tcBorders>
            <w:shd w:val="clear" w:color="auto" w:fill="auto"/>
            <w:noWrap/>
            <w:hideMark/>
          </w:tcPr>
          <w:p w14:paraId="0F11C968" w14:textId="57DD7CE2"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386848A3" w14:textId="6F66EA7D"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13B7755A" w14:textId="314E009E" w:rsidR="00FD6C1D" w:rsidRPr="009C6D5F" w:rsidRDefault="00FD6C1D" w:rsidP="00FD6C1D">
            <w:pPr>
              <w:spacing w:after="0"/>
              <w:jc w:val="right"/>
              <w:rPr>
                <w:color w:val="000000" w:themeColor="text1"/>
              </w:rPr>
            </w:pPr>
            <w:r w:rsidRPr="005912C9">
              <w:t>0</w:t>
            </w:r>
          </w:p>
        </w:tc>
        <w:tc>
          <w:tcPr>
            <w:tcW w:w="1540" w:type="dxa"/>
            <w:tcBorders>
              <w:top w:val="nil"/>
              <w:left w:val="nil"/>
              <w:bottom w:val="nil"/>
              <w:right w:val="nil"/>
            </w:tcBorders>
            <w:shd w:val="clear" w:color="auto" w:fill="auto"/>
            <w:noWrap/>
            <w:hideMark/>
          </w:tcPr>
          <w:p w14:paraId="001DB2E6" w14:textId="2DB1B735" w:rsidR="00FD6C1D" w:rsidRPr="009C6D5F" w:rsidRDefault="00FD6C1D" w:rsidP="00FD6C1D">
            <w:pPr>
              <w:spacing w:after="0"/>
              <w:jc w:val="right"/>
              <w:rPr>
                <w:color w:val="000000" w:themeColor="text1"/>
              </w:rPr>
            </w:pPr>
            <w:r w:rsidRPr="005912C9">
              <w:t>493</w:t>
            </w:r>
          </w:p>
        </w:tc>
        <w:tc>
          <w:tcPr>
            <w:tcW w:w="1020" w:type="dxa"/>
            <w:tcBorders>
              <w:top w:val="nil"/>
              <w:left w:val="nil"/>
              <w:bottom w:val="nil"/>
              <w:right w:val="nil"/>
            </w:tcBorders>
            <w:shd w:val="clear" w:color="auto" w:fill="auto"/>
            <w:noWrap/>
            <w:hideMark/>
          </w:tcPr>
          <w:p w14:paraId="0E64D3AF" w14:textId="22EE54B7"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4D19A7E8" w14:textId="7D76BDA9"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6C4B547D" w14:textId="55A13CB6"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20F53054" w14:textId="79146736" w:rsidR="00FD6C1D" w:rsidRPr="009C6D5F" w:rsidRDefault="00FD6C1D" w:rsidP="00FD6C1D">
            <w:pPr>
              <w:spacing w:after="0"/>
              <w:jc w:val="right"/>
              <w:rPr>
                <w:color w:val="000000" w:themeColor="text1"/>
              </w:rPr>
            </w:pPr>
            <w:r w:rsidRPr="005912C9">
              <w:t>0</w:t>
            </w:r>
          </w:p>
        </w:tc>
      </w:tr>
      <w:tr w:rsidR="00FD6C1D" w:rsidRPr="009C6D5F" w14:paraId="2A0BBA47" w14:textId="77777777" w:rsidTr="007C663B">
        <w:trPr>
          <w:trHeight w:val="252"/>
        </w:trPr>
        <w:tc>
          <w:tcPr>
            <w:tcW w:w="2960" w:type="dxa"/>
            <w:tcBorders>
              <w:top w:val="nil"/>
              <w:left w:val="nil"/>
              <w:bottom w:val="nil"/>
              <w:right w:val="nil"/>
            </w:tcBorders>
            <w:shd w:val="clear" w:color="auto" w:fill="auto"/>
            <w:vAlign w:val="center"/>
            <w:hideMark/>
          </w:tcPr>
          <w:p w14:paraId="6D63E651" w14:textId="304F7DBA"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Vzdelávanie</w:t>
            </w:r>
          </w:p>
        </w:tc>
        <w:tc>
          <w:tcPr>
            <w:tcW w:w="940" w:type="dxa"/>
            <w:tcBorders>
              <w:top w:val="nil"/>
              <w:left w:val="nil"/>
              <w:bottom w:val="nil"/>
              <w:right w:val="nil"/>
            </w:tcBorders>
            <w:shd w:val="clear" w:color="auto" w:fill="auto"/>
            <w:noWrap/>
            <w:hideMark/>
          </w:tcPr>
          <w:p w14:paraId="2C87A258" w14:textId="0D74E248" w:rsidR="00FD6C1D" w:rsidRPr="009C6D5F" w:rsidRDefault="00FD6C1D" w:rsidP="00FD6C1D">
            <w:pPr>
              <w:spacing w:after="0"/>
              <w:jc w:val="right"/>
              <w:rPr>
                <w:color w:val="000000" w:themeColor="text1"/>
              </w:rPr>
            </w:pPr>
            <w:r w:rsidRPr="005912C9">
              <w:t>12</w:t>
            </w:r>
          </w:p>
        </w:tc>
        <w:tc>
          <w:tcPr>
            <w:tcW w:w="1020" w:type="dxa"/>
            <w:tcBorders>
              <w:top w:val="nil"/>
              <w:left w:val="nil"/>
              <w:bottom w:val="nil"/>
              <w:right w:val="nil"/>
            </w:tcBorders>
            <w:shd w:val="clear" w:color="auto" w:fill="auto"/>
            <w:noWrap/>
            <w:hideMark/>
          </w:tcPr>
          <w:p w14:paraId="6A6BD99E" w14:textId="6C41EC56"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46885F76" w14:textId="06FCAF35" w:rsidR="00FD6C1D" w:rsidRPr="009C6D5F" w:rsidRDefault="00FD6C1D" w:rsidP="00FD6C1D">
            <w:pPr>
              <w:spacing w:after="0"/>
              <w:jc w:val="right"/>
              <w:rPr>
                <w:color w:val="000000" w:themeColor="text1"/>
              </w:rPr>
            </w:pPr>
            <w:r w:rsidRPr="005912C9">
              <w:t>106</w:t>
            </w:r>
          </w:p>
        </w:tc>
        <w:tc>
          <w:tcPr>
            <w:tcW w:w="860" w:type="dxa"/>
            <w:tcBorders>
              <w:top w:val="nil"/>
              <w:left w:val="nil"/>
              <w:bottom w:val="nil"/>
              <w:right w:val="nil"/>
            </w:tcBorders>
            <w:shd w:val="clear" w:color="auto" w:fill="auto"/>
            <w:noWrap/>
            <w:hideMark/>
          </w:tcPr>
          <w:p w14:paraId="78C2FC45" w14:textId="1B8D7EA3" w:rsidR="00FD6C1D" w:rsidRPr="009C6D5F" w:rsidRDefault="00FD6C1D" w:rsidP="00FD6C1D">
            <w:pPr>
              <w:spacing w:after="0"/>
              <w:jc w:val="right"/>
              <w:rPr>
                <w:color w:val="000000" w:themeColor="text1"/>
              </w:rPr>
            </w:pPr>
            <w:r w:rsidRPr="005912C9">
              <w:t>11</w:t>
            </w:r>
          </w:p>
        </w:tc>
        <w:tc>
          <w:tcPr>
            <w:tcW w:w="880" w:type="dxa"/>
            <w:tcBorders>
              <w:top w:val="nil"/>
              <w:left w:val="nil"/>
              <w:bottom w:val="nil"/>
              <w:right w:val="nil"/>
            </w:tcBorders>
            <w:shd w:val="clear" w:color="auto" w:fill="auto"/>
            <w:noWrap/>
            <w:hideMark/>
          </w:tcPr>
          <w:p w14:paraId="6B54CB11" w14:textId="14624766"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2EFF2983" w14:textId="254292D4" w:rsidR="00FD6C1D" w:rsidRPr="009C6D5F" w:rsidRDefault="00FD6C1D" w:rsidP="00FD6C1D">
            <w:pPr>
              <w:spacing w:after="0"/>
              <w:jc w:val="right"/>
              <w:rPr>
                <w:color w:val="000000" w:themeColor="text1"/>
              </w:rPr>
            </w:pPr>
            <w:r w:rsidRPr="005912C9">
              <w:t>189</w:t>
            </w:r>
          </w:p>
        </w:tc>
        <w:tc>
          <w:tcPr>
            <w:tcW w:w="900" w:type="dxa"/>
            <w:tcBorders>
              <w:top w:val="nil"/>
              <w:left w:val="nil"/>
              <w:bottom w:val="nil"/>
              <w:right w:val="nil"/>
            </w:tcBorders>
            <w:shd w:val="clear" w:color="auto" w:fill="auto"/>
            <w:noWrap/>
            <w:hideMark/>
          </w:tcPr>
          <w:p w14:paraId="0DE85472" w14:textId="6CD7A2E5" w:rsidR="00FD6C1D" w:rsidRPr="009C6D5F" w:rsidRDefault="00FD6C1D" w:rsidP="00FD6C1D">
            <w:pPr>
              <w:spacing w:after="0"/>
              <w:jc w:val="right"/>
              <w:rPr>
                <w:color w:val="000000" w:themeColor="text1"/>
              </w:rPr>
            </w:pPr>
            <w:r w:rsidRPr="005912C9">
              <w:t>135</w:t>
            </w:r>
          </w:p>
        </w:tc>
        <w:tc>
          <w:tcPr>
            <w:tcW w:w="1540" w:type="dxa"/>
            <w:tcBorders>
              <w:top w:val="nil"/>
              <w:left w:val="nil"/>
              <w:bottom w:val="nil"/>
              <w:right w:val="nil"/>
            </w:tcBorders>
            <w:shd w:val="clear" w:color="auto" w:fill="auto"/>
            <w:noWrap/>
            <w:hideMark/>
          </w:tcPr>
          <w:p w14:paraId="24FC4254" w14:textId="05324AED"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7C894ABB" w14:textId="0DC11BA8" w:rsidR="00FD6C1D" w:rsidRPr="009C6D5F" w:rsidRDefault="00FD6C1D" w:rsidP="00FD6C1D">
            <w:pPr>
              <w:spacing w:after="0"/>
              <w:jc w:val="right"/>
              <w:rPr>
                <w:color w:val="000000" w:themeColor="text1"/>
              </w:rPr>
            </w:pPr>
            <w:r w:rsidRPr="005912C9">
              <w:t>1</w:t>
            </w:r>
          </w:p>
        </w:tc>
        <w:tc>
          <w:tcPr>
            <w:tcW w:w="1180" w:type="dxa"/>
            <w:tcBorders>
              <w:top w:val="nil"/>
              <w:left w:val="nil"/>
              <w:bottom w:val="nil"/>
              <w:right w:val="nil"/>
            </w:tcBorders>
            <w:shd w:val="clear" w:color="auto" w:fill="auto"/>
            <w:noWrap/>
            <w:hideMark/>
          </w:tcPr>
          <w:p w14:paraId="3A04ED4E" w14:textId="1B3C8E0E"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6A10AF76" w14:textId="2C1D751F"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1D2831D0" w14:textId="3699B930" w:rsidR="00FD6C1D" w:rsidRPr="009C6D5F" w:rsidRDefault="00FD6C1D" w:rsidP="00FD6C1D">
            <w:pPr>
              <w:spacing w:after="0"/>
              <w:jc w:val="right"/>
              <w:rPr>
                <w:color w:val="000000" w:themeColor="text1"/>
              </w:rPr>
            </w:pPr>
            <w:r w:rsidRPr="005912C9">
              <w:t>0</w:t>
            </w:r>
          </w:p>
        </w:tc>
      </w:tr>
      <w:tr w:rsidR="00FD6C1D" w:rsidRPr="009C6D5F" w14:paraId="729E104E" w14:textId="77777777" w:rsidTr="007C663B">
        <w:trPr>
          <w:trHeight w:val="252"/>
        </w:trPr>
        <w:tc>
          <w:tcPr>
            <w:tcW w:w="2960" w:type="dxa"/>
            <w:tcBorders>
              <w:top w:val="nil"/>
              <w:left w:val="nil"/>
              <w:bottom w:val="nil"/>
              <w:right w:val="nil"/>
            </w:tcBorders>
            <w:shd w:val="clear" w:color="auto" w:fill="auto"/>
            <w:vAlign w:val="center"/>
            <w:hideMark/>
          </w:tcPr>
          <w:p w14:paraId="1EF5F4BC" w14:textId="04741160"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Zdravotníctvo a sociálna pomoc</w:t>
            </w:r>
          </w:p>
        </w:tc>
        <w:tc>
          <w:tcPr>
            <w:tcW w:w="940" w:type="dxa"/>
            <w:tcBorders>
              <w:top w:val="nil"/>
              <w:left w:val="nil"/>
              <w:bottom w:val="nil"/>
              <w:right w:val="nil"/>
            </w:tcBorders>
            <w:shd w:val="clear" w:color="auto" w:fill="auto"/>
            <w:noWrap/>
            <w:hideMark/>
          </w:tcPr>
          <w:p w14:paraId="5CBA99F3" w14:textId="4C999454" w:rsidR="00FD6C1D" w:rsidRPr="009C6D5F" w:rsidRDefault="00FD6C1D" w:rsidP="00FD6C1D">
            <w:pPr>
              <w:spacing w:after="0"/>
              <w:jc w:val="right"/>
              <w:rPr>
                <w:color w:val="000000" w:themeColor="text1"/>
              </w:rPr>
            </w:pPr>
            <w:r w:rsidRPr="005912C9">
              <w:t>55</w:t>
            </w:r>
          </w:p>
        </w:tc>
        <w:tc>
          <w:tcPr>
            <w:tcW w:w="1020" w:type="dxa"/>
            <w:tcBorders>
              <w:top w:val="nil"/>
              <w:left w:val="nil"/>
              <w:bottom w:val="nil"/>
              <w:right w:val="nil"/>
            </w:tcBorders>
            <w:shd w:val="clear" w:color="auto" w:fill="auto"/>
            <w:noWrap/>
            <w:hideMark/>
          </w:tcPr>
          <w:p w14:paraId="7DB0EE51" w14:textId="2C333FD8"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07B3A0FA" w14:textId="3AFD1E3A" w:rsidR="00FD6C1D" w:rsidRPr="009C6D5F" w:rsidRDefault="00FD6C1D" w:rsidP="00FD6C1D">
            <w:pPr>
              <w:spacing w:after="0"/>
              <w:jc w:val="right"/>
              <w:rPr>
                <w:color w:val="000000" w:themeColor="text1"/>
              </w:rPr>
            </w:pPr>
            <w:r w:rsidRPr="005912C9">
              <w:t>14</w:t>
            </w:r>
          </w:p>
        </w:tc>
        <w:tc>
          <w:tcPr>
            <w:tcW w:w="860" w:type="dxa"/>
            <w:tcBorders>
              <w:top w:val="nil"/>
              <w:left w:val="nil"/>
              <w:bottom w:val="nil"/>
              <w:right w:val="nil"/>
            </w:tcBorders>
            <w:shd w:val="clear" w:color="auto" w:fill="auto"/>
            <w:noWrap/>
            <w:hideMark/>
          </w:tcPr>
          <w:p w14:paraId="11333A90" w14:textId="348CE166" w:rsidR="00FD6C1D" w:rsidRPr="009C6D5F" w:rsidRDefault="00FD6C1D" w:rsidP="00FD6C1D">
            <w:pPr>
              <w:spacing w:after="0"/>
              <w:jc w:val="right"/>
              <w:rPr>
                <w:color w:val="000000" w:themeColor="text1"/>
              </w:rPr>
            </w:pPr>
            <w:r w:rsidRPr="005912C9">
              <w:t>9</w:t>
            </w:r>
          </w:p>
        </w:tc>
        <w:tc>
          <w:tcPr>
            <w:tcW w:w="880" w:type="dxa"/>
            <w:tcBorders>
              <w:top w:val="nil"/>
              <w:left w:val="nil"/>
              <w:bottom w:val="nil"/>
              <w:right w:val="nil"/>
            </w:tcBorders>
            <w:shd w:val="clear" w:color="auto" w:fill="auto"/>
            <w:noWrap/>
            <w:hideMark/>
          </w:tcPr>
          <w:p w14:paraId="755A7270" w14:textId="424A671A"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29E52182" w14:textId="3DA9FEF6" w:rsidR="00FD6C1D" w:rsidRPr="009C6D5F" w:rsidRDefault="00FD6C1D" w:rsidP="00FD6C1D">
            <w:pPr>
              <w:spacing w:after="0"/>
              <w:jc w:val="right"/>
              <w:rPr>
                <w:color w:val="000000" w:themeColor="text1"/>
              </w:rPr>
            </w:pPr>
            <w:r w:rsidRPr="005912C9">
              <w:t>974</w:t>
            </w:r>
          </w:p>
        </w:tc>
        <w:tc>
          <w:tcPr>
            <w:tcW w:w="900" w:type="dxa"/>
            <w:tcBorders>
              <w:top w:val="nil"/>
              <w:left w:val="nil"/>
              <w:bottom w:val="nil"/>
              <w:right w:val="nil"/>
            </w:tcBorders>
            <w:shd w:val="clear" w:color="auto" w:fill="auto"/>
            <w:noWrap/>
            <w:hideMark/>
          </w:tcPr>
          <w:p w14:paraId="56434494" w14:textId="4B973D0E" w:rsidR="00FD6C1D" w:rsidRPr="009C6D5F" w:rsidRDefault="00FD6C1D" w:rsidP="00FD6C1D">
            <w:pPr>
              <w:spacing w:after="0"/>
              <w:jc w:val="right"/>
              <w:rPr>
                <w:color w:val="000000" w:themeColor="text1"/>
              </w:rPr>
            </w:pPr>
            <w:r w:rsidRPr="005912C9">
              <w:t>165</w:t>
            </w:r>
          </w:p>
        </w:tc>
        <w:tc>
          <w:tcPr>
            <w:tcW w:w="1540" w:type="dxa"/>
            <w:tcBorders>
              <w:top w:val="nil"/>
              <w:left w:val="nil"/>
              <w:bottom w:val="nil"/>
              <w:right w:val="nil"/>
            </w:tcBorders>
            <w:shd w:val="clear" w:color="auto" w:fill="auto"/>
            <w:noWrap/>
            <w:hideMark/>
          </w:tcPr>
          <w:p w14:paraId="6DAABF20" w14:textId="2A389CF5" w:rsidR="00FD6C1D" w:rsidRPr="009C6D5F" w:rsidRDefault="00FD6C1D" w:rsidP="00FD6C1D">
            <w:pPr>
              <w:spacing w:after="0"/>
              <w:jc w:val="right"/>
              <w:rPr>
                <w:color w:val="000000" w:themeColor="text1"/>
              </w:rPr>
            </w:pPr>
            <w:r w:rsidRPr="005912C9">
              <w:t>103</w:t>
            </w:r>
          </w:p>
        </w:tc>
        <w:tc>
          <w:tcPr>
            <w:tcW w:w="1020" w:type="dxa"/>
            <w:tcBorders>
              <w:top w:val="nil"/>
              <w:left w:val="nil"/>
              <w:bottom w:val="nil"/>
              <w:right w:val="nil"/>
            </w:tcBorders>
            <w:shd w:val="clear" w:color="auto" w:fill="auto"/>
            <w:noWrap/>
            <w:hideMark/>
          </w:tcPr>
          <w:p w14:paraId="4A7314E7" w14:textId="27DD5950" w:rsidR="00FD6C1D" w:rsidRPr="009C6D5F" w:rsidRDefault="00FD6C1D" w:rsidP="00FD6C1D">
            <w:pPr>
              <w:spacing w:after="0"/>
              <w:jc w:val="right"/>
              <w:rPr>
                <w:color w:val="000000" w:themeColor="text1"/>
              </w:rPr>
            </w:pPr>
            <w:r w:rsidRPr="005912C9">
              <w:t>1</w:t>
            </w:r>
          </w:p>
        </w:tc>
        <w:tc>
          <w:tcPr>
            <w:tcW w:w="1180" w:type="dxa"/>
            <w:tcBorders>
              <w:top w:val="nil"/>
              <w:left w:val="nil"/>
              <w:bottom w:val="nil"/>
              <w:right w:val="nil"/>
            </w:tcBorders>
            <w:shd w:val="clear" w:color="auto" w:fill="auto"/>
            <w:noWrap/>
            <w:hideMark/>
          </w:tcPr>
          <w:p w14:paraId="3BF5B982" w14:textId="4050FBE9"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5CDA9707" w14:textId="20C62A1A"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48E0C979" w14:textId="45496271" w:rsidR="00FD6C1D" w:rsidRPr="009C6D5F" w:rsidRDefault="00FD6C1D" w:rsidP="00FD6C1D">
            <w:pPr>
              <w:spacing w:after="0"/>
              <w:jc w:val="right"/>
              <w:rPr>
                <w:color w:val="000000" w:themeColor="text1"/>
              </w:rPr>
            </w:pPr>
            <w:r w:rsidRPr="005912C9">
              <w:t>0</w:t>
            </w:r>
          </w:p>
        </w:tc>
      </w:tr>
      <w:tr w:rsidR="00FD6C1D" w:rsidRPr="009C6D5F" w14:paraId="54437CCF" w14:textId="77777777" w:rsidTr="007C663B">
        <w:trPr>
          <w:trHeight w:val="252"/>
        </w:trPr>
        <w:tc>
          <w:tcPr>
            <w:tcW w:w="2960" w:type="dxa"/>
            <w:tcBorders>
              <w:top w:val="nil"/>
              <w:left w:val="nil"/>
              <w:bottom w:val="nil"/>
              <w:right w:val="nil"/>
            </w:tcBorders>
            <w:shd w:val="clear" w:color="auto" w:fill="auto"/>
            <w:vAlign w:val="center"/>
            <w:hideMark/>
          </w:tcPr>
          <w:p w14:paraId="34E46903" w14:textId="34224336"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Umenie, zábava, rekreácia</w:t>
            </w:r>
          </w:p>
        </w:tc>
        <w:tc>
          <w:tcPr>
            <w:tcW w:w="940" w:type="dxa"/>
            <w:tcBorders>
              <w:top w:val="nil"/>
              <w:left w:val="nil"/>
              <w:bottom w:val="nil"/>
              <w:right w:val="nil"/>
            </w:tcBorders>
            <w:shd w:val="clear" w:color="auto" w:fill="auto"/>
            <w:noWrap/>
            <w:hideMark/>
          </w:tcPr>
          <w:p w14:paraId="399D687D" w14:textId="11CE2055" w:rsidR="00FD6C1D" w:rsidRPr="009C6D5F" w:rsidRDefault="00FD6C1D" w:rsidP="00FD6C1D">
            <w:pPr>
              <w:spacing w:after="0"/>
              <w:jc w:val="right"/>
              <w:rPr>
                <w:color w:val="000000" w:themeColor="text1"/>
              </w:rPr>
            </w:pPr>
            <w:r w:rsidRPr="005912C9">
              <w:t>0</w:t>
            </w:r>
          </w:p>
        </w:tc>
        <w:tc>
          <w:tcPr>
            <w:tcW w:w="1020" w:type="dxa"/>
            <w:tcBorders>
              <w:top w:val="nil"/>
              <w:left w:val="nil"/>
              <w:bottom w:val="nil"/>
              <w:right w:val="nil"/>
            </w:tcBorders>
            <w:shd w:val="clear" w:color="auto" w:fill="auto"/>
            <w:noWrap/>
            <w:hideMark/>
          </w:tcPr>
          <w:p w14:paraId="66BE596D" w14:textId="434F7AA5"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2F799885" w14:textId="15DD1532" w:rsidR="00FD6C1D" w:rsidRPr="009C6D5F" w:rsidRDefault="00FD6C1D" w:rsidP="00FD6C1D">
            <w:pPr>
              <w:spacing w:after="0"/>
              <w:jc w:val="right"/>
              <w:rPr>
                <w:color w:val="000000" w:themeColor="text1"/>
              </w:rPr>
            </w:pPr>
            <w:r w:rsidRPr="005912C9">
              <w:t>0</w:t>
            </w:r>
          </w:p>
        </w:tc>
        <w:tc>
          <w:tcPr>
            <w:tcW w:w="860" w:type="dxa"/>
            <w:tcBorders>
              <w:top w:val="nil"/>
              <w:left w:val="nil"/>
              <w:bottom w:val="nil"/>
              <w:right w:val="nil"/>
            </w:tcBorders>
            <w:shd w:val="clear" w:color="auto" w:fill="auto"/>
            <w:noWrap/>
            <w:hideMark/>
          </w:tcPr>
          <w:p w14:paraId="66DCEBB3" w14:textId="018F4FF5" w:rsidR="00FD6C1D" w:rsidRPr="009C6D5F" w:rsidRDefault="00FD6C1D" w:rsidP="00FD6C1D">
            <w:pPr>
              <w:spacing w:after="0"/>
              <w:jc w:val="right"/>
              <w:rPr>
                <w:color w:val="000000" w:themeColor="text1"/>
              </w:rPr>
            </w:pPr>
            <w:r w:rsidRPr="005912C9">
              <w:t>1</w:t>
            </w:r>
          </w:p>
        </w:tc>
        <w:tc>
          <w:tcPr>
            <w:tcW w:w="880" w:type="dxa"/>
            <w:tcBorders>
              <w:top w:val="nil"/>
              <w:left w:val="nil"/>
              <w:bottom w:val="nil"/>
              <w:right w:val="nil"/>
            </w:tcBorders>
            <w:shd w:val="clear" w:color="auto" w:fill="auto"/>
            <w:noWrap/>
            <w:hideMark/>
          </w:tcPr>
          <w:p w14:paraId="444B1382" w14:textId="499B49E0" w:rsidR="00FD6C1D" w:rsidRPr="009C6D5F" w:rsidRDefault="00FD6C1D" w:rsidP="00FD6C1D">
            <w:pPr>
              <w:spacing w:after="0"/>
              <w:jc w:val="right"/>
              <w:rPr>
                <w:color w:val="000000" w:themeColor="text1"/>
              </w:rPr>
            </w:pPr>
            <w:r w:rsidRPr="005912C9">
              <w:t>0</w:t>
            </w:r>
          </w:p>
        </w:tc>
        <w:tc>
          <w:tcPr>
            <w:tcW w:w="1200" w:type="dxa"/>
            <w:tcBorders>
              <w:top w:val="nil"/>
              <w:left w:val="nil"/>
              <w:bottom w:val="nil"/>
              <w:right w:val="nil"/>
            </w:tcBorders>
            <w:shd w:val="clear" w:color="auto" w:fill="auto"/>
            <w:noWrap/>
            <w:hideMark/>
          </w:tcPr>
          <w:p w14:paraId="0F384822" w14:textId="44075246" w:rsidR="00FD6C1D" w:rsidRPr="009C6D5F" w:rsidRDefault="00FD6C1D" w:rsidP="00FD6C1D">
            <w:pPr>
              <w:spacing w:after="0"/>
              <w:jc w:val="right"/>
              <w:rPr>
                <w:color w:val="000000" w:themeColor="text1"/>
              </w:rPr>
            </w:pPr>
            <w:r w:rsidRPr="005912C9">
              <w:t>8 725</w:t>
            </w:r>
          </w:p>
        </w:tc>
        <w:tc>
          <w:tcPr>
            <w:tcW w:w="900" w:type="dxa"/>
            <w:tcBorders>
              <w:top w:val="nil"/>
              <w:left w:val="nil"/>
              <w:bottom w:val="nil"/>
              <w:right w:val="nil"/>
            </w:tcBorders>
            <w:shd w:val="clear" w:color="auto" w:fill="auto"/>
            <w:noWrap/>
            <w:hideMark/>
          </w:tcPr>
          <w:p w14:paraId="7D33F506" w14:textId="6B65C779" w:rsidR="00FD6C1D" w:rsidRPr="009C6D5F" w:rsidRDefault="00FD6C1D" w:rsidP="00FD6C1D">
            <w:pPr>
              <w:spacing w:after="0"/>
              <w:jc w:val="right"/>
              <w:rPr>
                <w:color w:val="000000" w:themeColor="text1"/>
              </w:rPr>
            </w:pPr>
            <w:r w:rsidRPr="005912C9">
              <w:t>1 033</w:t>
            </w:r>
          </w:p>
        </w:tc>
        <w:tc>
          <w:tcPr>
            <w:tcW w:w="1540" w:type="dxa"/>
            <w:tcBorders>
              <w:top w:val="nil"/>
              <w:left w:val="nil"/>
              <w:bottom w:val="nil"/>
              <w:right w:val="nil"/>
            </w:tcBorders>
            <w:shd w:val="clear" w:color="auto" w:fill="auto"/>
            <w:noWrap/>
            <w:hideMark/>
          </w:tcPr>
          <w:p w14:paraId="4D4BDB9E" w14:textId="03681979" w:rsidR="00FD6C1D" w:rsidRPr="009C6D5F" w:rsidRDefault="00FD6C1D" w:rsidP="00FD6C1D">
            <w:pPr>
              <w:spacing w:after="0"/>
              <w:jc w:val="right"/>
              <w:rPr>
                <w:color w:val="000000" w:themeColor="text1"/>
              </w:rPr>
            </w:pPr>
            <w:r w:rsidRPr="005912C9">
              <w:t>745</w:t>
            </w:r>
          </w:p>
        </w:tc>
        <w:tc>
          <w:tcPr>
            <w:tcW w:w="1020" w:type="dxa"/>
            <w:tcBorders>
              <w:top w:val="nil"/>
              <w:left w:val="nil"/>
              <w:bottom w:val="nil"/>
              <w:right w:val="nil"/>
            </w:tcBorders>
            <w:shd w:val="clear" w:color="auto" w:fill="auto"/>
            <w:noWrap/>
            <w:hideMark/>
          </w:tcPr>
          <w:p w14:paraId="723520BA" w14:textId="390AFFE2"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7B3561B9" w14:textId="11081A72" w:rsidR="00FD6C1D" w:rsidRPr="009C6D5F" w:rsidRDefault="00FD6C1D" w:rsidP="00FD6C1D">
            <w:pPr>
              <w:spacing w:after="0"/>
              <w:jc w:val="right"/>
              <w:rPr>
                <w:color w:val="000000" w:themeColor="text1"/>
              </w:rPr>
            </w:pPr>
            <w:r w:rsidRPr="005912C9">
              <w:t>0</w:t>
            </w:r>
          </w:p>
        </w:tc>
        <w:tc>
          <w:tcPr>
            <w:tcW w:w="1180" w:type="dxa"/>
            <w:tcBorders>
              <w:top w:val="nil"/>
              <w:left w:val="nil"/>
              <w:bottom w:val="nil"/>
              <w:right w:val="nil"/>
            </w:tcBorders>
            <w:shd w:val="clear" w:color="auto" w:fill="auto"/>
            <w:noWrap/>
            <w:hideMark/>
          </w:tcPr>
          <w:p w14:paraId="49F2F49C" w14:textId="20E312A4" w:rsidR="00FD6C1D" w:rsidRPr="009C6D5F" w:rsidRDefault="00FD6C1D" w:rsidP="00FD6C1D">
            <w:pPr>
              <w:spacing w:after="0"/>
              <w:jc w:val="right"/>
              <w:rPr>
                <w:color w:val="000000" w:themeColor="text1"/>
              </w:rPr>
            </w:pPr>
            <w:r w:rsidRPr="005912C9">
              <w:t>0</w:t>
            </w:r>
          </w:p>
        </w:tc>
        <w:tc>
          <w:tcPr>
            <w:tcW w:w="900" w:type="dxa"/>
            <w:tcBorders>
              <w:top w:val="nil"/>
              <w:left w:val="nil"/>
              <w:bottom w:val="nil"/>
              <w:right w:val="nil"/>
            </w:tcBorders>
            <w:shd w:val="clear" w:color="auto" w:fill="auto"/>
            <w:noWrap/>
            <w:hideMark/>
          </w:tcPr>
          <w:p w14:paraId="089EEF00" w14:textId="672F3B4E" w:rsidR="00FD6C1D" w:rsidRPr="009C6D5F" w:rsidRDefault="00FD6C1D" w:rsidP="00FD6C1D">
            <w:pPr>
              <w:spacing w:after="0"/>
              <w:jc w:val="right"/>
              <w:rPr>
                <w:color w:val="000000" w:themeColor="text1"/>
              </w:rPr>
            </w:pPr>
            <w:r w:rsidRPr="005912C9">
              <w:t>0</w:t>
            </w:r>
          </w:p>
        </w:tc>
      </w:tr>
      <w:tr w:rsidR="00FD6C1D" w:rsidRPr="009C6D5F" w14:paraId="3BCF5B4B" w14:textId="77777777" w:rsidTr="007C663B">
        <w:trPr>
          <w:trHeight w:val="252"/>
        </w:trPr>
        <w:tc>
          <w:tcPr>
            <w:tcW w:w="2960" w:type="dxa"/>
            <w:tcBorders>
              <w:top w:val="nil"/>
              <w:left w:val="nil"/>
              <w:right w:val="nil"/>
            </w:tcBorders>
            <w:shd w:val="clear" w:color="auto" w:fill="auto"/>
            <w:vAlign w:val="center"/>
            <w:hideMark/>
          </w:tcPr>
          <w:p w14:paraId="3C17F8AD" w14:textId="052521C8"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Ostatné činnosti</w:t>
            </w:r>
          </w:p>
        </w:tc>
        <w:tc>
          <w:tcPr>
            <w:tcW w:w="940" w:type="dxa"/>
            <w:tcBorders>
              <w:top w:val="nil"/>
              <w:left w:val="nil"/>
              <w:right w:val="nil"/>
            </w:tcBorders>
            <w:shd w:val="clear" w:color="auto" w:fill="auto"/>
            <w:noWrap/>
            <w:hideMark/>
          </w:tcPr>
          <w:p w14:paraId="7EABD8C4" w14:textId="01292D7D" w:rsidR="00FD6C1D" w:rsidRPr="009C6D5F" w:rsidRDefault="00FD6C1D" w:rsidP="00FD6C1D">
            <w:pPr>
              <w:spacing w:after="0"/>
              <w:jc w:val="right"/>
              <w:rPr>
                <w:color w:val="000000" w:themeColor="text1"/>
              </w:rPr>
            </w:pPr>
            <w:r w:rsidRPr="005912C9">
              <w:t>23</w:t>
            </w:r>
          </w:p>
        </w:tc>
        <w:tc>
          <w:tcPr>
            <w:tcW w:w="1020" w:type="dxa"/>
            <w:tcBorders>
              <w:top w:val="nil"/>
              <w:left w:val="nil"/>
              <w:right w:val="nil"/>
            </w:tcBorders>
            <w:shd w:val="clear" w:color="auto" w:fill="auto"/>
            <w:noWrap/>
            <w:hideMark/>
          </w:tcPr>
          <w:p w14:paraId="21A7C1D4" w14:textId="7F3F4661" w:rsidR="00FD6C1D" w:rsidRPr="009C6D5F" w:rsidRDefault="00FD6C1D" w:rsidP="00FD6C1D">
            <w:pPr>
              <w:spacing w:after="0"/>
              <w:jc w:val="right"/>
              <w:rPr>
                <w:color w:val="000000" w:themeColor="text1"/>
              </w:rPr>
            </w:pPr>
            <w:r w:rsidRPr="005912C9">
              <w:t>266</w:t>
            </w:r>
          </w:p>
        </w:tc>
        <w:tc>
          <w:tcPr>
            <w:tcW w:w="900" w:type="dxa"/>
            <w:tcBorders>
              <w:top w:val="nil"/>
              <w:left w:val="nil"/>
              <w:right w:val="nil"/>
            </w:tcBorders>
            <w:shd w:val="clear" w:color="auto" w:fill="auto"/>
            <w:noWrap/>
            <w:hideMark/>
          </w:tcPr>
          <w:p w14:paraId="3BC3A7C6" w14:textId="651C7CE5" w:rsidR="00FD6C1D" w:rsidRPr="009C6D5F" w:rsidRDefault="00FD6C1D" w:rsidP="00FD6C1D">
            <w:pPr>
              <w:spacing w:after="0"/>
              <w:jc w:val="right"/>
              <w:rPr>
                <w:color w:val="000000" w:themeColor="text1"/>
              </w:rPr>
            </w:pPr>
            <w:r w:rsidRPr="005912C9">
              <w:t>2 039</w:t>
            </w:r>
          </w:p>
        </w:tc>
        <w:tc>
          <w:tcPr>
            <w:tcW w:w="860" w:type="dxa"/>
            <w:tcBorders>
              <w:top w:val="nil"/>
              <w:left w:val="nil"/>
              <w:right w:val="nil"/>
            </w:tcBorders>
            <w:shd w:val="clear" w:color="auto" w:fill="auto"/>
            <w:noWrap/>
            <w:hideMark/>
          </w:tcPr>
          <w:p w14:paraId="5C0834E3" w14:textId="6F64270F" w:rsidR="00FD6C1D" w:rsidRPr="009C6D5F" w:rsidRDefault="00FD6C1D" w:rsidP="00FD6C1D">
            <w:pPr>
              <w:spacing w:after="0"/>
              <w:jc w:val="right"/>
              <w:rPr>
                <w:color w:val="000000" w:themeColor="text1"/>
              </w:rPr>
            </w:pPr>
            <w:r w:rsidRPr="005912C9">
              <w:t>3</w:t>
            </w:r>
          </w:p>
        </w:tc>
        <w:tc>
          <w:tcPr>
            <w:tcW w:w="880" w:type="dxa"/>
            <w:tcBorders>
              <w:top w:val="nil"/>
              <w:left w:val="nil"/>
              <w:right w:val="nil"/>
            </w:tcBorders>
            <w:shd w:val="clear" w:color="auto" w:fill="auto"/>
            <w:noWrap/>
            <w:hideMark/>
          </w:tcPr>
          <w:p w14:paraId="41E1E020" w14:textId="32B97784" w:rsidR="00FD6C1D" w:rsidRPr="009C6D5F" w:rsidRDefault="00FD6C1D" w:rsidP="00FD6C1D">
            <w:pPr>
              <w:spacing w:after="0"/>
              <w:jc w:val="right"/>
              <w:rPr>
                <w:color w:val="000000" w:themeColor="text1"/>
              </w:rPr>
            </w:pPr>
            <w:r w:rsidRPr="005912C9">
              <w:t>0</w:t>
            </w:r>
          </w:p>
        </w:tc>
        <w:tc>
          <w:tcPr>
            <w:tcW w:w="1200" w:type="dxa"/>
            <w:tcBorders>
              <w:top w:val="nil"/>
              <w:left w:val="nil"/>
              <w:right w:val="nil"/>
            </w:tcBorders>
            <w:shd w:val="clear" w:color="auto" w:fill="auto"/>
            <w:noWrap/>
            <w:hideMark/>
          </w:tcPr>
          <w:p w14:paraId="1160088A" w14:textId="7F585D83" w:rsidR="00FD6C1D" w:rsidRPr="009C6D5F" w:rsidRDefault="00FD6C1D" w:rsidP="004965F6">
            <w:pPr>
              <w:spacing w:after="0"/>
              <w:jc w:val="right"/>
              <w:rPr>
                <w:color w:val="000000" w:themeColor="text1"/>
              </w:rPr>
            </w:pPr>
            <w:r w:rsidRPr="005912C9">
              <w:t>1 6</w:t>
            </w:r>
            <w:r w:rsidR="004965F6">
              <w:t>07</w:t>
            </w:r>
          </w:p>
        </w:tc>
        <w:tc>
          <w:tcPr>
            <w:tcW w:w="900" w:type="dxa"/>
            <w:tcBorders>
              <w:top w:val="nil"/>
              <w:left w:val="nil"/>
              <w:right w:val="nil"/>
            </w:tcBorders>
            <w:shd w:val="clear" w:color="auto" w:fill="auto"/>
            <w:noWrap/>
            <w:hideMark/>
          </w:tcPr>
          <w:p w14:paraId="2C34529A" w14:textId="5CF05766" w:rsidR="00FD6C1D" w:rsidRPr="009C6D5F" w:rsidRDefault="00FD6C1D" w:rsidP="00FD6C1D">
            <w:pPr>
              <w:spacing w:after="0"/>
              <w:jc w:val="right"/>
              <w:rPr>
                <w:color w:val="000000" w:themeColor="text1"/>
              </w:rPr>
            </w:pPr>
            <w:r w:rsidRPr="005912C9">
              <w:t>458</w:t>
            </w:r>
          </w:p>
        </w:tc>
        <w:tc>
          <w:tcPr>
            <w:tcW w:w="1540" w:type="dxa"/>
            <w:tcBorders>
              <w:top w:val="nil"/>
              <w:left w:val="nil"/>
              <w:right w:val="nil"/>
            </w:tcBorders>
            <w:shd w:val="clear" w:color="auto" w:fill="auto"/>
            <w:noWrap/>
            <w:hideMark/>
          </w:tcPr>
          <w:p w14:paraId="6E51A7D2" w14:textId="7431C28D" w:rsidR="00FD6C1D" w:rsidRPr="009C6D5F" w:rsidRDefault="00FD6C1D" w:rsidP="00FD6C1D">
            <w:pPr>
              <w:spacing w:after="0"/>
              <w:jc w:val="right"/>
              <w:rPr>
                <w:color w:val="000000" w:themeColor="text1"/>
              </w:rPr>
            </w:pPr>
            <w:r w:rsidRPr="005912C9">
              <w:t>0</w:t>
            </w:r>
          </w:p>
        </w:tc>
        <w:tc>
          <w:tcPr>
            <w:tcW w:w="1020" w:type="dxa"/>
            <w:tcBorders>
              <w:top w:val="nil"/>
              <w:left w:val="nil"/>
              <w:right w:val="nil"/>
            </w:tcBorders>
            <w:shd w:val="clear" w:color="auto" w:fill="auto"/>
            <w:noWrap/>
            <w:hideMark/>
          </w:tcPr>
          <w:p w14:paraId="4DA0273D" w14:textId="386A67BF" w:rsidR="00FD6C1D" w:rsidRPr="009C6D5F" w:rsidRDefault="00FD6C1D" w:rsidP="00FD6C1D">
            <w:pPr>
              <w:spacing w:after="0"/>
              <w:jc w:val="right"/>
              <w:rPr>
                <w:color w:val="000000" w:themeColor="text1"/>
              </w:rPr>
            </w:pPr>
            <w:r w:rsidRPr="005912C9">
              <w:t>0</w:t>
            </w:r>
          </w:p>
        </w:tc>
        <w:tc>
          <w:tcPr>
            <w:tcW w:w="1180" w:type="dxa"/>
            <w:tcBorders>
              <w:top w:val="nil"/>
              <w:left w:val="nil"/>
              <w:right w:val="nil"/>
            </w:tcBorders>
            <w:shd w:val="clear" w:color="auto" w:fill="auto"/>
            <w:noWrap/>
            <w:hideMark/>
          </w:tcPr>
          <w:p w14:paraId="140E240F" w14:textId="54E02929" w:rsidR="00FD6C1D" w:rsidRPr="009C6D5F" w:rsidRDefault="00FD6C1D" w:rsidP="00FD6C1D">
            <w:pPr>
              <w:spacing w:after="0"/>
              <w:jc w:val="right"/>
              <w:rPr>
                <w:color w:val="000000" w:themeColor="text1"/>
              </w:rPr>
            </w:pPr>
            <w:r w:rsidRPr="005912C9">
              <w:t>0</w:t>
            </w:r>
          </w:p>
        </w:tc>
        <w:tc>
          <w:tcPr>
            <w:tcW w:w="1180" w:type="dxa"/>
            <w:tcBorders>
              <w:top w:val="nil"/>
              <w:left w:val="nil"/>
              <w:right w:val="nil"/>
            </w:tcBorders>
            <w:shd w:val="clear" w:color="auto" w:fill="auto"/>
            <w:noWrap/>
            <w:hideMark/>
          </w:tcPr>
          <w:p w14:paraId="7D89FF34" w14:textId="001BE607" w:rsidR="00FD6C1D" w:rsidRPr="009C6D5F" w:rsidRDefault="00FD6C1D" w:rsidP="00FD6C1D">
            <w:pPr>
              <w:spacing w:after="0"/>
              <w:jc w:val="right"/>
              <w:rPr>
                <w:color w:val="000000" w:themeColor="text1"/>
              </w:rPr>
            </w:pPr>
            <w:r w:rsidRPr="005912C9">
              <w:t>0</w:t>
            </w:r>
          </w:p>
        </w:tc>
        <w:tc>
          <w:tcPr>
            <w:tcW w:w="900" w:type="dxa"/>
            <w:tcBorders>
              <w:top w:val="nil"/>
              <w:left w:val="nil"/>
              <w:right w:val="nil"/>
            </w:tcBorders>
            <w:shd w:val="clear" w:color="auto" w:fill="auto"/>
            <w:noWrap/>
            <w:hideMark/>
          </w:tcPr>
          <w:p w14:paraId="32107117" w14:textId="423947E1" w:rsidR="00FD6C1D" w:rsidRPr="009C6D5F" w:rsidRDefault="00FD6C1D" w:rsidP="00FD6C1D">
            <w:pPr>
              <w:spacing w:after="0"/>
              <w:jc w:val="right"/>
              <w:rPr>
                <w:color w:val="000000" w:themeColor="text1"/>
              </w:rPr>
            </w:pPr>
            <w:r w:rsidRPr="005912C9">
              <w:t>0</w:t>
            </w:r>
          </w:p>
        </w:tc>
      </w:tr>
      <w:tr w:rsidR="00FD6C1D" w:rsidRPr="004C3359" w14:paraId="03B3909D" w14:textId="77777777" w:rsidTr="007C663B">
        <w:trPr>
          <w:trHeight w:val="252"/>
        </w:trPr>
        <w:tc>
          <w:tcPr>
            <w:tcW w:w="2960" w:type="dxa"/>
            <w:tcBorders>
              <w:top w:val="nil"/>
              <w:left w:val="nil"/>
              <w:bottom w:val="single" w:sz="4" w:space="0" w:color="auto"/>
              <w:right w:val="nil"/>
            </w:tcBorders>
            <w:shd w:val="clear" w:color="auto" w:fill="auto"/>
            <w:vAlign w:val="center"/>
            <w:hideMark/>
          </w:tcPr>
          <w:p w14:paraId="1CEE2138" w14:textId="051A6194" w:rsidR="00FD6C1D" w:rsidRPr="009C6D5F" w:rsidRDefault="00FD6C1D" w:rsidP="00FD6C1D">
            <w:pPr>
              <w:spacing w:after="0" w:line="240" w:lineRule="auto"/>
              <w:rPr>
                <w:rFonts w:ascii="Arial" w:eastAsia="Times New Roman" w:hAnsi="Arial" w:cs="Arial"/>
                <w:sz w:val="16"/>
                <w:szCs w:val="16"/>
              </w:rPr>
            </w:pPr>
            <w:r w:rsidRPr="009C6D5F">
              <w:rPr>
                <w:rFonts w:ascii="Arial" w:eastAsia="Times New Roman" w:hAnsi="Arial" w:cs="Arial"/>
                <w:sz w:val="16"/>
                <w:szCs w:val="16"/>
              </w:rPr>
              <w:t>Obyvateľstvo, domácnosti</w:t>
            </w:r>
          </w:p>
        </w:tc>
        <w:tc>
          <w:tcPr>
            <w:tcW w:w="940" w:type="dxa"/>
            <w:tcBorders>
              <w:top w:val="nil"/>
              <w:left w:val="nil"/>
              <w:bottom w:val="single" w:sz="4" w:space="0" w:color="auto"/>
              <w:right w:val="nil"/>
            </w:tcBorders>
            <w:shd w:val="clear" w:color="auto" w:fill="auto"/>
            <w:noWrap/>
            <w:hideMark/>
          </w:tcPr>
          <w:p w14:paraId="767D1411" w14:textId="2428A043" w:rsidR="00FD6C1D" w:rsidRPr="009C6D5F" w:rsidRDefault="00FD6C1D" w:rsidP="00FD6C1D">
            <w:pPr>
              <w:spacing w:after="0"/>
              <w:jc w:val="right"/>
              <w:rPr>
                <w:color w:val="000000" w:themeColor="text1"/>
              </w:rPr>
            </w:pPr>
            <w:r w:rsidRPr="005912C9">
              <w:t>0</w:t>
            </w:r>
          </w:p>
        </w:tc>
        <w:tc>
          <w:tcPr>
            <w:tcW w:w="1020" w:type="dxa"/>
            <w:tcBorders>
              <w:top w:val="nil"/>
              <w:left w:val="nil"/>
              <w:bottom w:val="single" w:sz="4" w:space="0" w:color="auto"/>
              <w:right w:val="nil"/>
            </w:tcBorders>
            <w:shd w:val="clear" w:color="auto" w:fill="auto"/>
            <w:noWrap/>
            <w:hideMark/>
          </w:tcPr>
          <w:p w14:paraId="3777CF41" w14:textId="162339D9" w:rsidR="00FD6C1D" w:rsidRPr="009C6D5F" w:rsidRDefault="00FD6C1D" w:rsidP="00FD6C1D">
            <w:pPr>
              <w:spacing w:after="0"/>
              <w:jc w:val="right"/>
              <w:rPr>
                <w:color w:val="000000" w:themeColor="text1"/>
              </w:rPr>
            </w:pPr>
            <w:r w:rsidRPr="005912C9">
              <w:t>0</w:t>
            </w:r>
          </w:p>
        </w:tc>
        <w:tc>
          <w:tcPr>
            <w:tcW w:w="900" w:type="dxa"/>
            <w:tcBorders>
              <w:top w:val="nil"/>
              <w:left w:val="nil"/>
              <w:bottom w:val="single" w:sz="4" w:space="0" w:color="auto"/>
              <w:right w:val="nil"/>
            </w:tcBorders>
            <w:shd w:val="clear" w:color="auto" w:fill="auto"/>
            <w:noWrap/>
            <w:hideMark/>
          </w:tcPr>
          <w:p w14:paraId="0A56CCDB" w14:textId="1CF14616" w:rsidR="00FD6C1D" w:rsidRPr="009C6D5F" w:rsidRDefault="00FD6C1D" w:rsidP="00FD6C1D">
            <w:pPr>
              <w:spacing w:after="0"/>
              <w:jc w:val="right"/>
              <w:rPr>
                <w:color w:val="000000" w:themeColor="text1"/>
              </w:rPr>
            </w:pPr>
            <w:r w:rsidRPr="005912C9">
              <w:t>0</w:t>
            </w:r>
          </w:p>
        </w:tc>
        <w:tc>
          <w:tcPr>
            <w:tcW w:w="860" w:type="dxa"/>
            <w:tcBorders>
              <w:top w:val="nil"/>
              <w:left w:val="nil"/>
              <w:bottom w:val="single" w:sz="4" w:space="0" w:color="auto"/>
              <w:right w:val="nil"/>
            </w:tcBorders>
            <w:shd w:val="clear" w:color="auto" w:fill="auto"/>
            <w:noWrap/>
            <w:hideMark/>
          </w:tcPr>
          <w:p w14:paraId="3EFD91AD" w14:textId="65C0B0ED" w:rsidR="00FD6C1D" w:rsidRPr="009C6D5F" w:rsidRDefault="00FD6C1D" w:rsidP="00FD6C1D">
            <w:pPr>
              <w:spacing w:after="0"/>
              <w:jc w:val="right"/>
              <w:rPr>
                <w:color w:val="000000" w:themeColor="text1"/>
              </w:rPr>
            </w:pPr>
            <w:r w:rsidRPr="005912C9">
              <w:t>0</w:t>
            </w:r>
          </w:p>
        </w:tc>
        <w:tc>
          <w:tcPr>
            <w:tcW w:w="880" w:type="dxa"/>
            <w:tcBorders>
              <w:top w:val="nil"/>
              <w:left w:val="nil"/>
              <w:bottom w:val="single" w:sz="4" w:space="0" w:color="auto"/>
              <w:right w:val="nil"/>
            </w:tcBorders>
            <w:shd w:val="clear" w:color="auto" w:fill="auto"/>
            <w:noWrap/>
            <w:hideMark/>
          </w:tcPr>
          <w:p w14:paraId="20CA6275" w14:textId="2151B046" w:rsidR="00FD6C1D" w:rsidRPr="009C6D5F" w:rsidRDefault="00FD6C1D" w:rsidP="00FD6C1D">
            <w:pPr>
              <w:spacing w:after="0"/>
              <w:jc w:val="right"/>
              <w:rPr>
                <w:color w:val="000000" w:themeColor="text1"/>
              </w:rPr>
            </w:pPr>
            <w:r w:rsidRPr="005912C9">
              <w:t>0</w:t>
            </w:r>
          </w:p>
        </w:tc>
        <w:tc>
          <w:tcPr>
            <w:tcW w:w="1200" w:type="dxa"/>
            <w:tcBorders>
              <w:top w:val="nil"/>
              <w:left w:val="nil"/>
              <w:bottom w:val="single" w:sz="4" w:space="0" w:color="auto"/>
              <w:right w:val="nil"/>
            </w:tcBorders>
            <w:shd w:val="clear" w:color="auto" w:fill="auto"/>
            <w:noWrap/>
            <w:hideMark/>
          </w:tcPr>
          <w:p w14:paraId="0F2FD65C" w14:textId="54496703" w:rsidR="00FD6C1D" w:rsidRPr="009C6D5F" w:rsidRDefault="004965F6" w:rsidP="00FD6C1D">
            <w:pPr>
              <w:spacing w:after="0"/>
              <w:jc w:val="right"/>
              <w:rPr>
                <w:color w:val="000000" w:themeColor="text1"/>
              </w:rPr>
            </w:pPr>
            <w:r>
              <w:t>0</w:t>
            </w:r>
          </w:p>
        </w:tc>
        <w:tc>
          <w:tcPr>
            <w:tcW w:w="900" w:type="dxa"/>
            <w:tcBorders>
              <w:top w:val="nil"/>
              <w:left w:val="nil"/>
              <w:bottom w:val="single" w:sz="4" w:space="0" w:color="auto"/>
              <w:right w:val="nil"/>
            </w:tcBorders>
            <w:shd w:val="clear" w:color="auto" w:fill="auto"/>
            <w:noWrap/>
            <w:hideMark/>
          </w:tcPr>
          <w:p w14:paraId="393F2F36" w14:textId="3C63E778" w:rsidR="00FD6C1D" w:rsidRPr="009C6D5F" w:rsidRDefault="00FD6C1D" w:rsidP="00FD6C1D">
            <w:pPr>
              <w:spacing w:after="0"/>
              <w:jc w:val="right"/>
              <w:rPr>
                <w:color w:val="000000" w:themeColor="text1"/>
              </w:rPr>
            </w:pPr>
            <w:r w:rsidRPr="005912C9">
              <w:t>169 620</w:t>
            </w:r>
          </w:p>
        </w:tc>
        <w:tc>
          <w:tcPr>
            <w:tcW w:w="1540" w:type="dxa"/>
            <w:tcBorders>
              <w:top w:val="nil"/>
              <w:left w:val="nil"/>
              <w:bottom w:val="single" w:sz="4" w:space="0" w:color="auto"/>
              <w:right w:val="nil"/>
            </w:tcBorders>
            <w:shd w:val="clear" w:color="auto" w:fill="auto"/>
            <w:noWrap/>
            <w:hideMark/>
          </w:tcPr>
          <w:p w14:paraId="4802EF67" w14:textId="0CE77FA4" w:rsidR="00FD6C1D" w:rsidRPr="009C6D5F" w:rsidRDefault="00FD6C1D" w:rsidP="00FD6C1D">
            <w:pPr>
              <w:spacing w:after="0"/>
              <w:jc w:val="right"/>
              <w:rPr>
                <w:color w:val="000000" w:themeColor="text1"/>
              </w:rPr>
            </w:pPr>
            <w:r w:rsidRPr="005912C9">
              <w:t>604 457</w:t>
            </w:r>
          </w:p>
        </w:tc>
        <w:tc>
          <w:tcPr>
            <w:tcW w:w="1020" w:type="dxa"/>
            <w:tcBorders>
              <w:top w:val="nil"/>
              <w:left w:val="nil"/>
              <w:bottom w:val="single" w:sz="4" w:space="0" w:color="auto"/>
              <w:right w:val="nil"/>
            </w:tcBorders>
            <w:shd w:val="clear" w:color="auto" w:fill="auto"/>
            <w:noWrap/>
            <w:hideMark/>
          </w:tcPr>
          <w:p w14:paraId="33A71284" w14:textId="49AF8385" w:rsidR="00FD6C1D" w:rsidRPr="009C6D5F" w:rsidRDefault="00FD6C1D" w:rsidP="00FD6C1D">
            <w:pPr>
              <w:spacing w:after="0"/>
              <w:jc w:val="right"/>
              <w:rPr>
                <w:color w:val="000000" w:themeColor="text1"/>
              </w:rPr>
            </w:pPr>
            <w:r w:rsidRPr="005912C9">
              <w:t>8 351</w:t>
            </w:r>
          </w:p>
        </w:tc>
        <w:tc>
          <w:tcPr>
            <w:tcW w:w="1180" w:type="dxa"/>
            <w:tcBorders>
              <w:top w:val="nil"/>
              <w:left w:val="nil"/>
              <w:bottom w:val="single" w:sz="4" w:space="0" w:color="auto"/>
              <w:right w:val="nil"/>
            </w:tcBorders>
            <w:shd w:val="clear" w:color="auto" w:fill="auto"/>
            <w:noWrap/>
            <w:hideMark/>
          </w:tcPr>
          <w:p w14:paraId="2B7E3276" w14:textId="7E951A2F" w:rsidR="00FD6C1D" w:rsidRPr="009C6D5F" w:rsidRDefault="00FD6C1D" w:rsidP="00FD6C1D">
            <w:pPr>
              <w:spacing w:after="0"/>
              <w:jc w:val="right"/>
              <w:rPr>
                <w:color w:val="000000" w:themeColor="text1"/>
              </w:rPr>
            </w:pPr>
            <w:r w:rsidRPr="005912C9">
              <w:t>0</w:t>
            </w:r>
          </w:p>
        </w:tc>
        <w:tc>
          <w:tcPr>
            <w:tcW w:w="1180" w:type="dxa"/>
            <w:tcBorders>
              <w:top w:val="nil"/>
              <w:left w:val="nil"/>
              <w:bottom w:val="single" w:sz="4" w:space="0" w:color="auto"/>
              <w:right w:val="nil"/>
            </w:tcBorders>
            <w:shd w:val="clear" w:color="auto" w:fill="auto"/>
            <w:noWrap/>
            <w:hideMark/>
          </w:tcPr>
          <w:p w14:paraId="2362B0E9" w14:textId="470E6C82" w:rsidR="00FD6C1D" w:rsidRPr="009C6D5F" w:rsidRDefault="00FD6C1D" w:rsidP="00FD6C1D">
            <w:pPr>
              <w:spacing w:after="0"/>
              <w:jc w:val="right"/>
              <w:rPr>
                <w:color w:val="000000" w:themeColor="text1"/>
              </w:rPr>
            </w:pPr>
            <w:r w:rsidRPr="005912C9">
              <w:t>0</w:t>
            </w:r>
          </w:p>
        </w:tc>
        <w:tc>
          <w:tcPr>
            <w:tcW w:w="900" w:type="dxa"/>
            <w:tcBorders>
              <w:top w:val="nil"/>
              <w:left w:val="nil"/>
              <w:bottom w:val="single" w:sz="4" w:space="0" w:color="auto"/>
              <w:right w:val="nil"/>
            </w:tcBorders>
            <w:shd w:val="clear" w:color="auto" w:fill="auto"/>
            <w:noWrap/>
            <w:hideMark/>
          </w:tcPr>
          <w:p w14:paraId="1C299E88" w14:textId="452AB9FB" w:rsidR="00FD6C1D" w:rsidRPr="009C6D5F" w:rsidRDefault="00FD6C1D" w:rsidP="00FD6C1D">
            <w:pPr>
              <w:spacing w:after="0"/>
              <w:jc w:val="right"/>
              <w:rPr>
                <w:color w:val="000000" w:themeColor="text1"/>
              </w:rPr>
            </w:pPr>
            <w:r w:rsidRPr="005912C9">
              <w:t>64 483</w:t>
            </w:r>
          </w:p>
        </w:tc>
      </w:tr>
    </w:tbl>
    <w:p w14:paraId="2F8A8704" w14:textId="77777777" w:rsidR="002C6F50" w:rsidRPr="004C3359" w:rsidRDefault="002C6F50" w:rsidP="00C60CC2">
      <w:pPr>
        <w:rPr>
          <w:rFonts w:ascii="Arial" w:hAnsi="Arial" w:cs="Arial"/>
          <w:b/>
          <w:color w:val="2E74B5" w:themeColor="accent1" w:themeShade="BF"/>
          <w:sz w:val="20"/>
          <w:szCs w:val="20"/>
          <w:highlight w:val="magenta"/>
        </w:rPr>
        <w:sectPr w:rsidR="002C6F50" w:rsidRPr="004C3359" w:rsidSect="00F2541B">
          <w:footerReference w:type="default" r:id="rId18"/>
          <w:pgSz w:w="16838" w:h="11906" w:orient="landscape" w:code="9"/>
          <w:pgMar w:top="1418" w:right="1418" w:bottom="992" w:left="567" w:header="709" w:footer="709" w:gutter="0"/>
          <w:cols w:space="708"/>
          <w:docGrid w:linePitch="360"/>
        </w:sectPr>
      </w:pPr>
    </w:p>
    <w:p w14:paraId="687AF072" w14:textId="72BC6BD2" w:rsidR="00C60CC2" w:rsidRPr="00A460E6" w:rsidRDefault="00C60CC2" w:rsidP="00C60CC2">
      <w:pPr>
        <w:pStyle w:val="ListParagraph"/>
        <w:numPr>
          <w:ilvl w:val="0"/>
          <w:numId w:val="36"/>
        </w:numPr>
        <w:ind w:right="-426"/>
        <w:rPr>
          <w:rFonts w:ascii="Arial" w:hAnsi="Arial" w:cs="Arial"/>
          <w:b/>
          <w:color w:val="000000" w:themeColor="text1"/>
          <w:sz w:val="20"/>
          <w:szCs w:val="20"/>
        </w:rPr>
      </w:pPr>
      <w:r w:rsidRPr="00A460E6">
        <w:rPr>
          <w:rFonts w:ascii="Arial" w:hAnsi="Arial" w:cs="Arial"/>
          <w:b/>
          <w:color w:val="000000" w:themeColor="text1"/>
          <w:sz w:val="20"/>
          <w:szCs w:val="20"/>
        </w:rPr>
        <w:t>Rozdelenie všetkých expozícií podľa zostatkovej doby splatnosti podľa tried expozícií</w:t>
      </w:r>
    </w:p>
    <w:p w14:paraId="476DD580" w14:textId="77777777" w:rsidR="00D44AD8" w:rsidRPr="004C3359" w:rsidRDefault="00D44AD8" w:rsidP="00D44AD8">
      <w:pPr>
        <w:pStyle w:val="ListParagraph"/>
        <w:ind w:left="567" w:right="-426"/>
        <w:rPr>
          <w:rFonts w:ascii="Arial" w:hAnsi="Arial" w:cs="Arial"/>
          <w:b/>
          <w:color w:val="000000" w:themeColor="text1"/>
          <w:sz w:val="20"/>
          <w:szCs w:val="20"/>
          <w:highlight w:val="magenta"/>
        </w:rPr>
      </w:pPr>
    </w:p>
    <w:p w14:paraId="5BA47C85" w14:textId="77777777" w:rsidR="00D44AD8" w:rsidRPr="009C6D5F" w:rsidRDefault="00D44AD8" w:rsidP="00D44AD8">
      <w:pPr>
        <w:pStyle w:val="ListParagraph"/>
        <w:ind w:left="7788" w:right="-426" w:firstLine="708"/>
        <w:rPr>
          <w:rFonts w:ascii="Arial" w:hAnsi="Arial" w:cs="Arial"/>
          <w:b/>
          <w:color w:val="000000" w:themeColor="text1"/>
          <w:sz w:val="20"/>
          <w:szCs w:val="20"/>
        </w:rPr>
      </w:pPr>
      <w:r w:rsidRPr="009C6D5F">
        <w:rPr>
          <w:rFonts w:ascii="Arial" w:eastAsia="Times New Roman" w:hAnsi="Arial" w:cs="Arial"/>
          <w:color w:val="000000" w:themeColor="text1"/>
          <w:sz w:val="16"/>
          <w:szCs w:val="16"/>
        </w:rPr>
        <w:t>(v tis. EUR)</w:t>
      </w:r>
    </w:p>
    <w:tbl>
      <w:tblPr>
        <w:tblW w:w="9220" w:type="dxa"/>
        <w:tblInd w:w="55" w:type="dxa"/>
        <w:tblCellMar>
          <w:left w:w="70" w:type="dxa"/>
          <w:right w:w="70" w:type="dxa"/>
        </w:tblCellMar>
        <w:tblLook w:val="04A0" w:firstRow="1" w:lastRow="0" w:firstColumn="1" w:lastColumn="0" w:noHBand="0" w:noVBand="1"/>
      </w:tblPr>
      <w:tblGrid>
        <w:gridCol w:w="4260"/>
        <w:gridCol w:w="1460"/>
        <w:gridCol w:w="1540"/>
        <w:gridCol w:w="1960"/>
      </w:tblGrid>
      <w:tr w:rsidR="00F74D89" w:rsidRPr="009C6D5F" w14:paraId="724E7593" w14:textId="77777777" w:rsidTr="002C6F50">
        <w:trPr>
          <w:trHeight w:val="255"/>
        </w:trPr>
        <w:tc>
          <w:tcPr>
            <w:tcW w:w="4260" w:type="dxa"/>
            <w:tcBorders>
              <w:top w:val="single" w:sz="4" w:space="0" w:color="auto"/>
              <w:left w:val="nil"/>
              <w:bottom w:val="single" w:sz="4" w:space="0" w:color="auto"/>
              <w:right w:val="nil"/>
            </w:tcBorders>
            <w:shd w:val="clear" w:color="auto" w:fill="auto"/>
            <w:noWrap/>
            <w:vAlign w:val="bottom"/>
            <w:hideMark/>
          </w:tcPr>
          <w:p w14:paraId="0B08EC83" w14:textId="1CC34197" w:rsidR="00F74D89" w:rsidRPr="009C6D5F" w:rsidRDefault="00F74D89" w:rsidP="00F74D89">
            <w:pPr>
              <w:spacing w:after="0" w:line="240" w:lineRule="auto"/>
              <w:rPr>
                <w:rFonts w:ascii="Arial" w:eastAsia="Times New Roman" w:hAnsi="Arial" w:cs="Arial"/>
                <w:b/>
                <w:bCs/>
                <w:sz w:val="20"/>
                <w:szCs w:val="20"/>
              </w:rPr>
            </w:pPr>
            <w:r w:rsidRPr="009C6D5F">
              <w:rPr>
                <w:rFonts w:ascii="Arial" w:eastAsia="Times New Roman" w:hAnsi="Arial" w:cs="Arial"/>
                <w:b/>
                <w:bCs/>
                <w:sz w:val="20"/>
                <w:szCs w:val="20"/>
              </w:rPr>
              <w:t>Trieda expozície</w:t>
            </w:r>
          </w:p>
        </w:tc>
        <w:tc>
          <w:tcPr>
            <w:tcW w:w="1460" w:type="dxa"/>
            <w:tcBorders>
              <w:top w:val="single" w:sz="4" w:space="0" w:color="auto"/>
              <w:left w:val="nil"/>
              <w:bottom w:val="single" w:sz="4" w:space="0" w:color="auto"/>
              <w:right w:val="nil"/>
            </w:tcBorders>
            <w:shd w:val="clear" w:color="auto" w:fill="auto"/>
            <w:noWrap/>
            <w:vAlign w:val="bottom"/>
            <w:hideMark/>
          </w:tcPr>
          <w:p w14:paraId="706615C9" w14:textId="729AC590"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Do 1 roka</w:t>
            </w:r>
          </w:p>
        </w:tc>
        <w:tc>
          <w:tcPr>
            <w:tcW w:w="1540" w:type="dxa"/>
            <w:tcBorders>
              <w:top w:val="single" w:sz="4" w:space="0" w:color="auto"/>
              <w:left w:val="nil"/>
              <w:bottom w:val="single" w:sz="4" w:space="0" w:color="auto"/>
              <w:right w:val="nil"/>
            </w:tcBorders>
            <w:shd w:val="clear" w:color="auto" w:fill="auto"/>
            <w:noWrap/>
            <w:vAlign w:val="bottom"/>
            <w:hideMark/>
          </w:tcPr>
          <w:p w14:paraId="175EA2B4" w14:textId="510B9CCE"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1 - 5 rokov</w:t>
            </w:r>
          </w:p>
        </w:tc>
        <w:tc>
          <w:tcPr>
            <w:tcW w:w="1960" w:type="dxa"/>
            <w:tcBorders>
              <w:top w:val="single" w:sz="4" w:space="0" w:color="auto"/>
              <w:left w:val="nil"/>
              <w:bottom w:val="single" w:sz="4" w:space="0" w:color="auto"/>
              <w:right w:val="nil"/>
            </w:tcBorders>
            <w:shd w:val="clear" w:color="auto" w:fill="auto"/>
            <w:noWrap/>
            <w:vAlign w:val="bottom"/>
            <w:hideMark/>
          </w:tcPr>
          <w:p w14:paraId="24948F69" w14:textId="10D5A4AF"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Viac ako 5 rokov</w:t>
            </w:r>
          </w:p>
        </w:tc>
      </w:tr>
      <w:tr w:rsidR="00FD6C1D" w:rsidRPr="009C6D5F" w14:paraId="37C875BD" w14:textId="77777777" w:rsidTr="002C6F50">
        <w:trPr>
          <w:trHeight w:val="330"/>
        </w:trPr>
        <w:tc>
          <w:tcPr>
            <w:tcW w:w="4260" w:type="dxa"/>
            <w:tcBorders>
              <w:top w:val="nil"/>
              <w:left w:val="nil"/>
              <w:bottom w:val="nil"/>
              <w:right w:val="nil"/>
            </w:tcBorders>
            <w:shd w:val="clear" w:color="auto" w:fill="auto"/>
            <w:noWrap/>
            <w:vAlign w:val="center"/>
            <w:hideMark/>
          </w:tcPr>
          <w:p w14:paraId="47017EB7" w14:textId="1009E0AE"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Ústredné vlády alebo centrálne banky</w:t>
            </w:r>
          </w:p>
        </w:tc>
        <w:tc>
          <w:tcPr>
            <w:tcW w:w="1460" w:type="dxa"/>
            <w:tcBorders>
              <w:top w:val="single" w:sz="4" w:space="0" w:color="auto"/>
              <w:left w:val="nil"/>
              <w:bottom w:val="nil"/>
              <w:right w:val="nil"/>
            </w:tcBorders>
            <w:shd w:val="clear" w:color="auto" w:fill="auto"/>
            <w:noWrap/>
            <w:hideMark/>
          </w:tcPr>
          <w:p w14:paraId="1F670521" w14:textId="6C6D02AB" w:rsidR="00FD6C1D" w:rsidRPr="009C6D5F" w:rsidRDefault="00FD6C1D" w:rsidP="00FD6C1D">
            <w:pPr>
              <w:spacing w:after="0"/>
              <w:jc w:val="right"/>
              <w:rPr>
                <w:color w:val="000000" w:themeColor="text1"/>
              </w:rPr>
            </w:pPr>
            <w:r w:rsidRPr="001F34F8">
              <w:t>93 368</w:t>
            </w:r>
          </w:p>
        </w:tc>
        <w:tc>
          <w:tcPr>
            <w:tcW w:w="1540" w:type="dxa"/>
            <w:tcBorders>
              <w:top w:val="single" w:sz="4" w:space="0" w:color="auto"/>
              <w:left w:val="nil"/>
              <w:bottom w:val="nil"/>
              <w:right w:val="nil"/>
            </w:tcBorders>
            <w:shd w:val="clear" w:color="auto" w:fill="auto"/>
            <w:noWrap/>
            <w:hideMark/>
          </w:tcPr>
          <w:p w14:paraId="4E3C83E0" w14:textId="4A379ED6" w:rsidR="00FD6C1D" w:rsidRPr="009C6D5F" w:rsidRDefault="00FD6C1D" w:rsidP="00FD6C1D">
            <w:pPr>
              <w:spacing w:after="0"/>
              <w:jc w:val="right"/>
              <w:rPr>
                <w:color w:val="000000" w:themeColor="text1"/>
              </w:rPr>
            </w:pPr>
            <w:r w:rsidRPr="001F34F8">
              <w:t>86 069</w:t>
            </w:r>
          </w:p>
        </w:tc>
        <w:tc>
          <w:tcPr>
            <w:tcW w:w="1960" w:type="dxa"/>
            <w:tcBorders>
              <w:top w:val="single" w:sz="4" w:space="0" w:color="auto"/>
              <w:left w:val="nil"/>
              <w:bottom w:val="nil"/>
              <w:right w:val="nil"/>
            </w:tcBorders>
            <w:shd w:val="clear" w:color="auto" w:fill="auto"/>
            <w:noWrap/>
            <w:hideMark/>
          </w:tcPr>
          <w:p w14:paraId="029C0DC2" w14:textId="5BB33DCB" w:rsidR="00FD6C1D" w:rsidRPr="009C6D5F" w:rsidRDefault="00FD6C1D" w:rsidP="00FD6C1D">
            <w:pPr>
              <w:spacing w:after="0"/>
              <w:jc w:val="right"/>
              <w:rPr>
                <w:color w:val="000000" w:themeColor="text1"/>
              </w:rPr>
            </w:pPr>
            <w:r w:rsidRPr="001F34F8">
              <w:t>6 890</w:t>
            </w:r>
          </w:p>
        </w:tc>
      </w:tr>
      <w:tr w:rsidR="00FD6C1D" w:rsidRPr="009C6D5F" w14:paraId="286EB5A7" w14:textId="77777777" w:rsidTr="002C6F50">
        <w:trPr>
          <w:trHeight w:val="330"/>
        </w:trPr>
        <w:tc>
          <w:tcPr>
            <w:tcW w:w="4260" w:type="dxa"/>
            <w:tcBorders>
              <w:top w:val="nil"/>
              <w:left w:val="nil"/>
              <w:bottom w:val="nil"/>
              <w:right w:val="nil"/>
            </w:tcBorders>
            <w:shd w:val="clear" w:color="auto" w:fill="auto"/>
            <w:vAlign w:val="center"/>
            <w:hideMark/>
          </w:tcPr>
          <w:p w14:paraId="20599839" w14:textId="3A7E7D4F"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Regionálne vlády alebo miestne orgány</w:t>
            </w:r>
          </w:p>
        </w:tc>
        <w:tc>
          <w:tcPr>
            <w:tcW w:w="1460" w:type="dxa"/>
            <w:tcBorders>
              <w:top w:val="nil"/>
              <w:left w:val="nil"/>
              <w:bottom w:val="nil"/>
              <w:right w:val="nil"/>
            </w:tcBorders>
            <w:shd w:val="clear" w:color="auto" w:fill="auto"/>
            <w:noWrap/>
            <w:hideMark/>
          </w:tcPr>
          <w:p w14:paraId="283194E8" w14:textId="3D8C9A47" w:rsidR="00FD6C1D" w:rsidRPr="009C6D5F" w:rsidRDefault="00FD6C1D" w:rsidP="00FD6C1D">
            <w:pPr>
              <w:spacing w:after="0"/>
              <w:jc w:val="right"/>
              <w:rPr>
                <w:color w:val="000000" w:themeColor="text1"/>
              </w:rPr>
            </w:pPr>
            <w:r w:rsidRPr="001F34F8">
              <w:t>2 729</w:t>
            </w:r>
          </w:p>
        </w:tc>
        <w:tc>
          <w:tcPr>
            <w:tcW w:w="1540" w:type="dxa"/>
            <w:tcBorders>
              <w:top w:val="nil"/>
              <w:left w:val="nil"/>
              <w:bottom w:val="nil"/>
              <w:right w:val="nil"/>
            </w:tcBorders>
            <w:shd w:val="clear" w:color="auto" w:fill="auto"/>
            <w:noWrap/>
            <w:hideMark/>
          </w:tcPr>
          <w:p w14:paraId="112A45BA" w14:textId="7313B0E5" w:rsidR="00FD6C1D" w:rsidRPr="009C6D5F" w:rsidRDefault="00FD6C1D" w:rsidP="00FD6C1D">
            <w:pPr>
              <w:spacing w:after="0"/>
              <w:jc w:val="right"/>
              <w:rPr>
                <w:color w:val="000000" w:themeColor="text1"/>
              </w:rPr>
            </w:pPr>
            <w:r w:rsidRPr="001F34F8">
              <w:t>4 703</w:t>
            </w:r>
          </w:p>
        </w:tc>
        <w:tc>
          <w:tcPr>
            <w:tcW w:w="1960" w:type="dxa"/>
            <w:tcBorders>
              <w:top w:val="nil"/>
              <w:left w:val="nil"/>
              <w:bottom w:val="nil"/>
              <w:right w:val="nil"/>
            </w:tcBorders>
            <w:shd w:val="clear" w:color="auto" w:fill="auto"/>
            <w:noWrap/>
            <w:hideMark/>
          </w:tcPr>
          <w:p w14:paraId="1DC1A1F3" w14:textId="34E86F2A" w:rsidR="00FD6C1D" w:rsidRPr="009C6D5F" w:rsidRDefault="00FD6C1D" w:rsidP="00FD6C1D">
            <w:pPr>
              <w:spacing w:after="0"/>
              <w:jc w:val="right"/>
              <w:rPr>
                <w:color w:val="000000" w:themeColor="text1"/>
              </w:rPr>
            </w:pPr>
            <w:r w:rsidRPr="001F34F8">
              <w:t>12 786</w:t>
            </w:r>
          </w:p>
        </w:tc>
      </w:tr>
      <w:tr w:rsidR="00FD6C1D" w:rsidRPr="009C6D5F" w14:paraId="3CFCC918" w14:textId="77777777" w:rsidTr="002C6F50">
        <w:trPr>
          <w:trHeight w:val="330"/>
        </w:trPr>
        <w:tc>
          <w:tcPr>
            <w:tcW w:w="4260" w:type="dxa"/>
            <w:tcBorders>
              <w:top w:val="nil"/>
              <w:left w:val="nil"/>
              <w:bottom w:val="nil"/>
              <w:right w:val="nil"/>
            </w:tcBorders>
            <w:shd w:val="clear" w:color="auto" w:fill="auto"/>
            <w:vAlign w:val="center"/>
            <w:hideMark/>
          </w:tcPr>
          <w:p w14:paraId="3A3BA15C" w14:textId="2D5DAED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Subjekty verejného sektora</w:t>
            </w:r>
          </w:p>
        </w:tc>
        <w:tc>
          <w:tcPr>
            <w:tcW w:w="1460" w:type="dxa"/>
            <w:tcBorders>
              <w:top w:val="nil"/>
              <w:left w:val="nil"/>
              <w:bottom w:val="nil"/>
              <w:right w:val="nil"/>
            </w:tcBorders>
            <w:shd w:val="clear" w:color="auto" w:fill="auto"/>
            <w:noWrap/>
            <w:hideMark/>
          </w:tcPr>
          <w:p w14:paraId="1CAA0A29" w14:textId="3EE3BE05" w:rsidR="00FD6C1D" w:rsidRPr="009C6D5F" w:rsidRDefault="00FD6C1D" w:rsidP="00FD6C1D">
            <w:pPr>
              <w:spacing w:after="0"/>
              <w:jc w:val="right"/>
              <w:rPr>
                <w:color w:val="000000" w:themeColor="text1"/>
              </w:rPr>
            </w:pPr>
            <w:r w:rsidRPr="001F34F8">
              <w:t>270</w:t>
            </w:r>
          </w:p>
        </w:tc>
        <w:tc>
          <w:tcPr>
            <w:tcW w:w="1540" w:type="dxa"/>
            <w:tcBorders>
              <w:top w:val="nil"/>
              <w:left w:val="nil"/>
              <w:bottom w:val="nil"/>
              <w:right w:val="nil"/>
            </w:tcBorders>
            <w:shd w:val="clear" w:color="auto" w:fill="auto"/>
            <w:noWrap/>
            <w:hideMark/>
          </w:tcPr>
          <w:p w14:paraId="4254822A" w14:textId="3A4D1CEB" w:rsidR="00FD6C1D" w:rsidRPr="009C6D5F" w:rsidRDefault="00FD6C1D" w:rsidP="00FD6C1D">
            <w:pPr>
              <w:spacing w:after="0"/>
              <w:jc w:val="right"/>
              <w:rPr>
                <w:color w:val="000000" w:themeColor="text1"/>
              </w:rPr>
            </w:pPr>
            <w:r w:rsidRPr="001F34F8">
              <w:t>355</w:t>
            </w:r>
          </w:p>
        </w:tc>
        <w:tc>
          <w:tcPr>
            <w:tcW w:w="1960" w:type="dxa"/>
            <w:tcBorders>
              <w:top w:val="nil"/>
              <w:left w:val="nil"/>
              <w:bottom w:val="nil"/>
              <w:right w:val="nil"/>
            </w:tcBorders>
            <w:shd w:val="clear" w:color="auto" w:fill="auto"/>
            <w:noWrap/>
            <w:hideMark/>
          </w:tcPr>
          <w:p w14:paraId="3F1252BC" w14:textId="365C3162" w:rsidR="00FD6C1D" w:rsidRPr="009C6D5F" w:rsidRDefault="00FD6C1D" w:rsidP="00FD6C1D">
            <w:pPr>
              <w:spacing w:after="0"/>
              <w:jc w:val="right"/>
              <w:rPr>
                <w:color w:val="000000" w:themeColor="text1"/>
              </w:rPr>
            </w:pPr>
            <w:r w:rsidRPr="001F34F8">
              <w:t>1 834</w:t>
            </w:r>
          </w:p>
        </w:tc>
      </w:tr>
      <w:tr w:rsidR="00FD6C1D" w:rsidRPr="009C6D5F" w14:paraId="417FC834" w14:textId="77777777" w:rsidTr="002C6F50">
        <w:trPr>
          <w:trHeight w:val="330"/>
        </w:trPr>
        <w:tc>
          <w:tcPr>
            <w:tcW w:w="4260" w:type="dxa"/>
            <w:tcBorders>
              <w:top w:val="nil"/>
              <w:left w:val="nil"/>
              <w:bottom w:val="nil"/>
              <w:right w:val="nil"/>
            </w:tcBorders>
            <w:shd w:val="clear" w:color="auto" w:fill="auto"/>
            <w:vAlign w:val="center"/>
            <w:hideMark/>
          </w:tcPr>
          <w:p w14:paraId="48BB6C8B" w14:textId="2D03A351"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Multilaterálne rozvojové banky</w:t>
            </w:r>
          </w:p>
        </w:tc>
        <w:tc>
          <w:tcPr>
            <w:tcW w:w="1460" w:type="dxa"/>
            <w:tcBorders>
              <w:top w:val="nil"/>
              <w:left w:val="nil"/>
              <w:bottom w:val="nil"/>
              <w:right w:val="nil"/>
            </w:tcBorders>
            <w:shd w:val="clear" w:color="auto" w:fill="auto"/>
            <w:noWrap/>
            <w:hideMark/>
          </w:tcPr>
          <w:p w14:paraId="593FEDA1" w14:textId="595FCF13" w:rsidR="00FD6C1D" w:rsidRPr="009C6D5F" w:rsidRDefault="00FD6C1D" w:rsidP="00FD6C1D">
            <w:pPr>
              <w:spacing w:after="0"/>
              <w:jc w:val="right"/>
              <w:rPr>
                <w:color w:val="000000" w:themeColor="text1"/>
              </w:rPr>
            </w:pPr>
            <w:r w:rsidRPr="001F34F8">
              <w:t>240</w:t>
            </w:r>
          </w:p>
        </w:tc>
        <w:tc>
          <w:tcPr>
            <w:tcW w:w="1540" w:type="dxa"/>
            <w:tcBorders>
              <w:top w:val="nil"/>
              <w:left w:val="nil"/>
              <w:bottom w:val="nil"/>
              <w:right w:val="nil"/>
            </w:tcBorders>
            <w:shd w:val="clear" w:color="auto" w:fill="auto"/>
            <w:noWrap/>
            <w:hideMark/>
          </w:tcPr>
          <w:p w14:paraId="048C313A" w14:textId="1D471C58" w:rsidR="00FD6C1D" w:rsidRPr="009C6D5F" w:rsidRDefault="00FD6C1D" w:rsidP="00FD6C1D">
            <w:pPr>
              <w:spacing w:after="0"/>
              <w:jc w:val="right"/>
              <w:rPr>
                <w:color w:val="000000" w:themeColor="text1"/>
              </w:rPr>
            </w:pPr>
            <w:r w:rsidRPr="001F34F8">
              <w:t>86</w:t>
            </w:r>
          </w:p>
        </w:tc>
        <w:tc>
          <w:tcPr>
            <w:tcW w:w="1960" w:type="dxa"/>
            <w:tcBorders>
              <w:top w:val="nil"/>
              <w:left w:val="nil"/>
              <w:bottom w:val="nil"/>
              <w:right w:val="nil"/>
            </w:tcBorders>
            <w:shd w:val="clear" w:color="auto" w:fill="auto"/>
            <w:noWrap/>
            <w:hideMark/>
          </w:tcPr>
          <w:p w14:paraId="11493B97" w14:textId="2EBD974C" w:rsidR="00FD6C1D" w:rsidRPr="009C6D5F" w:rsidRDefault="00FD6C1D" w:rsidP="00FD6C1D">
            <w:pPr>
              <w:spacing w:after="0"/>
              <w:jc w:val="right"/>
              <w:rPr>
                <w:color w:val="000000" w:themeColor="text1"/>
              </w:rPr>
            </w:pPr>
            <w:r w:rsidRPr="001F34F8">
              <w:t>0</w:t>
            </w:r>
          </w:p>
        </w:tc>
      </w:tr>
      <w:tr w:rsidR="00FD6C1D" w:rsidRPr="009C6D5F" w14:paraId="0ED6137D" w14:textId="77777777" w:rsidTr="002C6F50">
        <w:trPr>
          <w:trHeight w:val="330"/>
        </w:trPr>
        <w:tc>
          <w:tcPr>
            <w:tcW w:w="4260" w:type="dxa"/>
            <w:tcBorders>
              <w:top w:val="nil"/>
              <w:left w:val="nil"/>
              <w:bottom w:val="nil"/>
              <w:right w:val="nil"/>
            </w:tcBorders>
            <w:shd w:val="clear" w:color="auto" w:fill="auto"/>
            <w:vAlign w:val="center"/>
            <w:hideMark/>
          </w:tcPr>
          <w:p w14:paraId="5E303D25" w14:textId="407EE84E"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Inštitúcie</w:t>
            </w:r>
          </w:p>
        </w:tc>
        <w:tc>
          <w:tcPr>
            <w:tcW w:w="1460" w:type="dxa"/>
            <w:tcBorders>
              <w:top w:val="nil"/>
              <w:left w:val="nil"/>
              <w:bottom w:val="nil"/>
              <w:right w:val="nil"/>
            </w:tcBorders>
            <w:shd w:val="clear" w:color="auto" w:fill="auto"/>
            <w:noWrap/>
            <w:hideMark/>
          </w:tcPr>
          <w:p w14:paraId="7BA68E80" w14:textId="60D7DF5F" w:rsidR="00FD6C1D" w:rsidRPr="009C6D5F" w:rsidRDefault="00FD6C1D" w:rsidP="00FD6C1D">
            <w:pPr>
              <w:spacing w:after="0"/>
              <w:jc w:val="right"/>
              <w:rPr>
                <w:color w:val="000000" w:themeColor="text1"/>
              </w:rPr>
            </w:pPr>
            <w:r w:rsidRPr="001F34F8">
              <w:t>37 601</w:t>
            </w:r>
          </w:p>
        </w:tc>
        <w:tc>
          <w:tcPr>
            <w:tcW w:w="1540" w:type="dxa"/>
            <w:tcBorders>
              <w:top w:val="nil"/>
              <w:left w:val="nil"/>
              <w:bottom w:val="nil"/>
              <w:right w:val="nil"/>
            </w:tcBorders>
            <w:shd w:val="clear" w:color="auto" w:fill="auto"/>
            <w:noWrap/>
            <w:hideMark/>
          </w:tcPr>
          <w:p w14:paraId="3FB5D171" w14:textId="42FD4760" w:rsidR="00FD6C1D" w:rsidRPr="009C6D5F" w:rsidRDefault="00FD6C1D" w:rsidP="00FD6C1D">
            <w:pPr>
              <w:spacing w:after="0"/>
              <w:jc w:val="right"/>
              <w:rPr>
                <w:color w:val="000000" w:themeColor="text1"/>
              </w:rPr>
            </w:pPr>
            <w:r w:rsidRPr="001F34F8">
              <w:t>4 883</w:t>
            </w:r>
          </w:p>
        </w:tc>
        <w:tc>
          <w:tcPr>
            <w:tcW w:w="1960" w:type="dxa"/>
            <w:tcBorders>
              <w:top w:val="nil"/>
              <w:left w:val="nil"/>
              <w:bottom w:val="nil"/>
              <w:right w:val="nil"/>
            </w:tcBorders>
            <w:shd w:val="clear" w:color="auto" w:fill="auto"/>
            <w:noWrap/>
            <w:hideMark/>
          </w:tcPr>
          <w:p w14:paraId="3D30A927" w14:textId="10115413" w:rsidR="00FD6C1D" w:rsidRPr="009C6D5F" w:rsidRDefault="00FD6C1D" w:rsidP="00FD6C1D">
            <w:pPr>
              <w:spacing w:after="0"/>
              <w:jc w:val="right"/>
              <w:rPr>
                <w:color w:val="000000" w:themeColor="text1"/>
              </w:rPr>
            </w:pPr>
            <w:r w:rsidRPr="001F34F8">
              <w:t>0</w:t>
            </w:r>
          </w:p>
        </w:tc>
      </w:tr>
      <w:tr w:rsidR="00FD6C1D" w:rsidRPr="009C6D5F" w14:paraId="2D0A7CB8" w14:textId="77777777" w:rsidTr="002C6F50">
        <w:trPr>
          <w:trHeight w:val="330"/>
        </w:trPr>
        <w:tc>
          <w:tcPr>
            <w:tcW w:w="4260" w:type="dxa"/>
            <w:tcBorders>
              <w:top w:val="nil"/>
              <w:left w:val="nil"/>
              <w:bottom w:val="nil"/>
              <w:right w:val="nil"/>
            </w:tcBorders>
            <w:shd w:val="clear" w:color="auto" w:fill="auto"/>
            <w:noWrap/>
            <w:vAlign w:val="center"/>
            <w:hideMark/>
          </w:tcPr>
          <w:p w14:paraId="45B65F7A" w14:textId="03B2A400"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Podnikateľské subjekty</w:t>
            </w:r>
          </w:p>
        </w:tc>
        <w:tc>
          <w:tcPr>
            <w:tcW w:w="1460" w:type="dxa"/>
            <w:tcBorders>
              <w:top w:val="nil"/>
              <w:left w:val="nil"/>
              <w:bottom w:val="nil"/>
              <w:right w:val="nil"/>
            </w:tcBorders>
            <w:shd w:val="clear" w:color="auto" w:fill="auto"/>
            <w:noWrap/>
            <w:hideMark/>
          </w:tcPr>
          <w:p w14:paraId="0079A696" w14:textId="55E86B39" w:rsidR="00FD6C1D" w:rsidRPr="009C6D5F" w:rsidRDefault="00FD6C1D" w:rsidP="00FD6C1D">
            <w:pPr>
              <w:spacing w:after="0"/>
              <w:jc w:val="right"/>
              <w:rPr>
                <w:color w:val="000000" w:themeColor="text1"/>
              </w:rPr>
            </w:pPr>
            <w:r w:rsidRPr="001F34F8">
              <w:t>77 171</w:t>
            </w:r>
          </w:p>
        </w:tc>
        <w:tc>
          <w:tcPr>
            <w:tcW w:w="1540" w:type="dxa"/>
            <w:tcBorders>
              <w:top w:val="nil"/>
              <w:left w:val="nil"/>
              <w:bottom w:val="nil"/>
              <w:right w:val="nil"/>
            </w:tcBorders>
            <w:shd w:val="clear" w:color="auto" w:fill="auto"/>
            <w:noWrap/>
            <w:hideMark/>
          </w:tcPr>
          <w:p w14:paraId="55F8851C" w14:textId="0214172D" w:rsidR="00FD6C1D" w:rsidRPr="009C6D5F" w:rsidRDefault="00FD6C1D" w:rsidP="00FD6C1D">
            <w:pPr>
              <w:spacing w:after="0"/>
              <w:jc w:val="right"/>
              <w:rPr>
                <w:color w:val="000000" w:themeColor="text1"/>
              </w:rPr>
            </w:pPr>
            <w:r w:rsidRPr="001F34F8">
              <w:t>79 061</w:t>
            </w:r>
          </w:p>
        </w:tc>
        <w:tc>
          <w:tcPr>
            <w:tcW w:w="1960" w:type="dxa"/>
            <w:tcBorders>
              <w:top w:val="nil"/>
              <w:left w:val="nil"/>
              <w:bottom w:val="nil"/>
              <w:right w:val="nil"/>
            </w:tcBorders>
            <w:shd w:val="clear" w:color="auto" w:fill="auto"/>
            <w:noWrap/>
            <w:hideMark/>
          </w:tcPr>
          <w:p w14:paraId="3A175AFD" w14:textId="749562E2" w:rsidR="00FD6C1D" w:rsidRPr="009C6D5F" w:rsidRDefault="00FD6C1D" w:rsidP="00FD6C1D">
            <w:pPr>
              <w:spacing w:after="0"/>
              <w:jc w:val="right"/>
              <w:rPr>
                <w:color w:val="000000" w:themeColor="text1"/>
              </w:rPr>
            </w:pPr>
            <w:r w:rsidRPr="001F34F8">
              <w:t>80 580</w:t>
            </w:r>
          </w:p>
        </w:tc>
      </w:tr>
      <w:tr w:rsidR="00FD6C1D" w:rsidRPr="009C6D5F" w14:paraId="542A460D" w14:textId="77777777" w:rsidTr="002C6F50">
        <w:trPr>
          <w:trHeight w:val="330"/>
        </w:trPr>
        <w:tc>
          <w:tcPr>
            <w:tcW w:w="4260" w:type="dxa"/>
            <w:tcBorders>
              <w:top w:val="nil"/>
              <w:left w:val="nil"/>
              <w:bottom w:val="nil"/>
              <w:right w:val="nil"/>
            </w:tcBorders>
            <w:shd w:val="clear" w:color="auto" w:fill="auto"/>
            <w:noWrap/>
            <w:vAlign w:val="center"/>
            <w:hideMark/>
          </w:tcPr>
          <w:p w14:paraId="065F6C66" w14:textId="7F6972DC" w:rsidR="00FD6C1D" w:rsidRPr="009C6D5F" w:rsidRDefault="00FD6C1D" w:rsidP="00FD6C1D">
            <w:pPr>
              <w:spacing w:after="0" w:line="240" w:lineRule="auto"/>
              <w:rPr>
                <w:rFonts w:ascii="Arial" w:eastAsia="Times New Roman" w:hAnsi="Arial" w:cs="Arial"/>
                <w:sz w:val="20"/>
                <w:szCs w:val="20"/>
              </w:rPr>
            </w:pPr>
            <w:proofErr w:type="spellStart"/>
            <w:r w:rsidRPr="009C6D5F">
              <w:rPr>
                <w:rFonts w:ascii="Arial" w:eastAsia="Times New Roman" w:hAnsi="Arial" w:cs="Arial"/>
                <w:sz w:val="20"/>
                <w:szCs w:val="20"/>
              </w:rPr>
              <w:t>Retailové</w:t>
            </w:r>
            <w:proofErr w:type="spellEnd"/>
            <w:r w:rsidRPr="009C6D5F">
              <w:rPr>
                <w:rFonts w:ascii="Arial" w:eastAsia="Times New Roman" w:hAnsi="Arial" w:cs="Arial"/>
                <w:sz w:val="20"/>
                <w:szCs w:val="20"/>
              </w:rPr>
              <w:t xml:space="preserve"> expozície</w:t>
            </w:r>
          </w:p>
        </w:tc>
        <w:tc>
          <w:tcPr>
            <w:tcW w:w="1460" w:type="dxa"/>
            <w:tcBorders>
              <w:top w:val="nil"/>
              <w:left w:val="nil"/>
              <w:bottom w:val="nil"/>
              <w:right w:val="nil"/>
            </w:tcBorders>
            <w:shd w:val="clear" w:color="auto" w:fill="auto"/>
            <w:noWrap/>
            <w:hideMark/>
          </w:tcPr>
          <w:p w14:paraId="15CE3875" w14:textId="5F416AE5" w:rsidR="00FD6C1D" w:rsidRPr="009C6D5F" w:rsidRDefault="00FD6C1D" w:rsidP="00FD6C1D">
            <w:pPr>
              <w:spacing w:after="0"/>
              <w:jc w:val="right"/>
              <w:rPr>
                <w:color w:val="000000" w:themeColor="text1"/>
              </w:rPr>
            </w:pPr>
            <w:r w:rsidRPr="001F34F8">
              <w:t>21 866</w:t>
            </w:r>
          </w:p>
        </w:tc>
        <w:tc>
          <w:tcPr>
            <w:tcW w:w="1540" w:type="dxa"/>
            <w:tcBorders>
              <w:top w:val="nil"/>
              <w:left w:val="nil"/>
              <w:bottom w:val="nil"/>
              <w:right w:val="nil"/>
            </w:tcBorders>
            <w:shd w:val="clear" w:color="auto" w:fill="auto"/>
            <w:noWrap/>
            <w:hideMark/>
          </w:tcPr>
          <w:p w14:paraId="2358AB36" w14:textId="27F734A8" w:rsidR="00FD6C1D" w:rsidRPr="009C6D5F" w:rsidRDefault="00FD6C1D" w:rsidP="00FD6C1D">
            <w:pPr>
              <w:spacing w:after="0"/>
              <w:jc w:val="right"/>
              <w:rPr>
                <w:color w:val="000000" w:themeColor="text1"/>
              </w:rPr>
            </w:pPr>
            <w:r w:rsidRPr="001F34F8">
              <w:t>85 693</w:t>
            </w:r>
          </w:p>
        </w:tc>
        <w:tc>
          <w:tcPr>
            <w:tcW w:w="1960" w:type="dxa"/>
            <w:tcBorders>
              <w:top w:val="nil"/>
              <w:left w:val="nil"/>
              <w:bottom w:val="nil"/>
              <w:right w:val="nil"/>
            </w:tcBorders>
            <w:shd w:val="clear" w:color="auto" w:fill="auto"/>
            <w:noWrap/>
            <w:hideMark/>
          </w:tcPr>
          <w:p w14:paraId="1BACEDC4" w14:textId="48F15A9E" w:rsidR="00FD6C1D" w:rsidRPr="009C6D5F" w:rsidRDefault="00FD6C1D" w:rsidP="00FD6C1D">
            <w:pPr>
              <w:spacing w:after="0"/>
              <w:jc w:val="right"/>
              <w:rPr>
                <w:color w:val="000000" w:themeColor="text1"/>
              </w:rPr>
            </w:pPr>
            <w:r w:rsidRPr="001F34F8">
              <w:t>145 529</w:t>
            </w:r>
          </w:p>
        </w:tc>
      </w:tr>
      <w:tr w:rsidR="00FD6C1D" w:rsidRPr="009C6D5F" w14:paraId="19A0960D" w14:textId="77777777" w:rsidTr="002C6F50">
        <w:trPr>
          <w:trHeight w:val="522"/>
        </w:trPr>
        <w:tc>
          <w:tcPr>
            <w:tcW w:w="4260" w:type="dxa"/>
            <w:tcBorders>
              <w:top w:val="nil"/>
              <w:left w:val="nil"/>
              <w:bottom w:val="nil"/>
              <w:right w:val="nil"/>
            </w:tcBorders>
            <w:shd w:val="clear" w:color="auto" w:fill="auto"/>
            <w:vAlign w:val="center"/>
            <w:hideMark/>
          </w:tcPr>
          <w:p w14:paraId="74CE565B" w14:textId="0A6CF151"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zabezpečené hypotékami na nehnuteľný majetok</w:t>
            </w:r>
          </w:p>
        </w:tc>
        <w:tc>
          <w:tcPr>
            <w:tcW w:w="1460" w:type="dxa"/>
            <w:tcBorders>
              <w:top w:val="nil"/>
              <w:left w:val="nil"/>
              <w:bottom w:val="nil"/>
              <w:right w:val="nil"/>
            </w:tcBorders>
            <w:shd w:val="clear" w:color="auto" w:fill="auto"/>
            <w:noWrap/>
            <w:hideMark/>
          </w:tcPr>
          <w:p w14:paraId="2AD3E802" w14:textId="7F705E28" w:rsidR="00FD6C1D" w:rsidRPr="009C6D5F" w:rsidRDefault="00FD6C1D" w:rsidP="00FD6C1D">
            <w:pPr>
              <w:spacing w:after="0"/>
              <w:jc w:val="right"/>
              <w:rPr>
                <w:color w:val="000000" w:themeColor="text1"/>
              </w:rPr>
            </w:pPr>
            <w:r w:rsidRPr="001F34F8">
              <w:t>27 063</w:t>
            </w:r>
          </w:p>
        </w:tc>
        <w:tc>
          <w:tcPr>
            <w:tcW w:w="1540" w:type="dxa"/>
            <w:tcBorders>
              <w:top w:val="nil"/>
              <w:left w:val="nil"/>
              <w:bottom w:val="nil"/>
              <w:right w:val="nil"/>
            </w:tcBorders>
            <w:shd w:val="clear" w:color="auto" w:fill="auto"/>
            <w:noWrap/>
            <w:hideMark/>
          </w:tcPr>
          <w:p w14:paraId="1E784D73" w14:textId="6649B5BC" w:rsidR="00FD6C1D" w:rsidRPr="009C6D5F" w:rsidRDefault="00FD6C1D" w:rsidP="00FD6C1D">
            <w:pPr>
              <w:spacing w:after="0"/>
              <w:jc w:val="right"/>
              <w:rPr>
                <w:color w:val="000000" w:themeColor="text1"/>
              </w:rPr>
            </w:pPr>
            <w:r w:rsidRPr="001F34F8">
              <w:t>22 764</w:t>
            </w:r>
          </w:p>
        </w:tc>
        <w:tc>
          <w:tcPr>
            <w:tcW w:w="1960" w:type="dxa"/>
            <w:tcBorders>
              <w:top w:val="nil"/>
              <w:left w:val="nil"/>
              <w:bottom w:val="nil"/>
              <w:right w:val="nil"/>
            </w:tcBorders>
            <w:shd w:val="clear" w:color="auto" w:fill="auto"/>
            <w:noWrap/>
            <w:hideMark/>
          </w:tcPr>
          <w:p w14:paraId="083FFB83" w14:textId="5A11C533" w:rsidR="00FD6C1D" w:rsidRPr="009C6D5F" w:rsidRDefault="00FD6C1D" w:rsidP="00FD6C1D">
            <w:pPr>
              <w:spacing w:after="0"/>
              <w:jc w:val="right"/>
              <w:rPr>
                <w:color w:val="000000" w:themeColor="text1"/>
              </w:rPr>
            </w:pPr>
            <w:r w:rsidRPr="001F34F8">
              <w:t>607 821</w:t>
            </w:r>
          </w:p>
        </w:tc>
      </w:tr>
      <w:tr w:rsidR="00FD6C1D" w:rsidRPr="009C6D5F" w14:paraId="6C5F6E5C" w14:textId="77777777" w:rsidTr="002C6F50">
        <w:trPr>
          <w:trHeight w:val="330"/>
        </w:trPr>
        <w:tc>
          <w:tcPr>
            <w:tcW w:w="4260" w:type="dxa"/>
            <w:tcBorders>
              <w:top w:val="nil"/>
              <w:left w:val="nil"/>
              <w:bottom w:val="nil"/>
              <w:right w:val="nil"/>
            </w:tcBorders>
            <w:shd w:val="clear" w:color="auto" w:fill="auto"/>
            <w:vAlign w:val="center"/>
            <w:hideMark/>
          </w:tcPr>
          <w:p w14:paraId="40A932CF" w14:textId="15BC7DAF"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v stave zlyhania</w:t>
            </w:r>
          </w:p>
        </w:tc>
        <w:tc>
          <w:tcPr>
            <w:tcW w:w="1460" w:type="dxa"/>
            <w:tcBorders>
              <w:top w:val="nil"/>
              <w:left w:val="nil"/>
              <w:bottom w:val="nil"/>
              <w:right w:val="nil"/>
            </w:tcBorders>
            <w:shd w:val="clear" w:color="auto" w:fill="auto"/>
            <w:noWrap/>
            <w:hideMark/>
          </w:tcPr>
          <w:p w14:paraId="360F10FB" w14:textId="4D85BC3E" w:rsidR="00FD6C1D" w:rsidRPr="009C6D5F" w:rsidRDefault="00FD6C1D" w:rsidP="00FD6C1D">
            <w:pPr>
              <w:spacing w:after="0"/>
              <w:jc w:val="right"/>
              <w:rPr>
                <w:color w:val="000000" w:themeColor="text1"/>
              </w:rPr>
            </w:pPr>
            <w:r w:rsidRPr="001F34F8">
              <w:t>7 353</w:t>
            </w:r>
          </w:p>
        </w:tc>
        <w:tc>
          <w:tcPr>
            <w:tcW w:w="1540" w:type="dxa"/>
            <w:tcBorders>
              <w:top w:val="nil"/>
              <w:left w:val="nil"/>
              <w:bottom w:val="nil"/>
              <w:right w:val="nil"/>
            </w:tcBorders>
            <w:shd w:val="clear" w:color="auto" w:fill="auto"/>
            <w:noWrap/>
            <w:hideMark/>
          </w:tcPr>
          <w:p w14:paraId="7B0B4898" w14:textId="1A476614" w:rsidR="00FD6C1D" w:rsidRPr="009C6D5F" w:rsidRDefault="00FD6C1D" w:rsidP="00FD6C1D">
            <w:pPr>
              <w:spacing w:after="0"/>
              <w:jc w:val="right"/>
              <w:rPr>
                <w:color w:val="000000" w:themeColor="text1"/>
              </w:rPr>
            </w:pPr>
            <w:r w:rsidRPr="001F34F8">
              <w:t>2 791</w:t>
            </w:r>
          </w:p>
        </w:tc>
        <w:tc>
          <w:tcPr>
            <w:tcW w:w="1960" w:type="dxa"/>
            <w:tcBorders>
              <w:top w:val="nil"/>
              <w:left w:val="nil"/>
              <w:bottom w:val="nil"/>
              <w:right w:val="nil"/>
            </w:tcBorders>
            <w:shd w:val="clear" w:color="auto" w:fill="auto"/>
            <w:noWrap/>
            <w:hideMark/>
          </w:tcPr>
          <w:p w14:paraId="7AECE022" w14:textId="39B9A743" w:rsidR="00FD6C1D" w:rsidRPr="009C6D5F" w:rsidRDefault="00FD6C1D" w:rsidP="00FD6C1D">
            <w:pPr>
              <w:spacing w:after="0"/>
              <w:jc w:val="right"/>
              <w:rPr>
                <w:color w:val="000000" w:themeColor="text1"/>
              </w:rPr>
            </w:pPr>
            <w:r w:rsidRPr="001F34F8">
              <w:t>6 717</w:t>
            </w:r>
          </w:p>
        </w:tc>
      </w:tr>
      <w:tr w:rsidR="00FD6C1D" w:rsidRPr="009C6D5F" w14:paraId="606474C2" w14:textId="77777777" w:rsidTr="002C6F50">
        <w:trPr>
          <w:trHeight w:val="522"/>
        </w:trPr>
        <w:tc>
          <w:tcPr>
            <w:tcW w:w="4260" w:type="dxa"/>
            <w:tcBorders>
              <w:top w:val="nil"/>
              <w:left w:val="nil"/>
              <w:bottom w:val="nil"/>
              <w:right w:val="nil"/>
            </w:tcBorders>
            <w:shd w:val="clear" w:color="auto" w:fill="auto"/>
            <w:vAlign w:val="center"/>
            <w:hideMark/>
          </w:tcPr>
          <w:p w14:paraId="2419C2EC" w14:textId="6A54454A"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s ktorými súvisí osobitne vysoké riziko</w:t>
            </w:r>
          </w:p>
        </w:tc>
        <w:tc>
          <w:tcPr>
            <w:tcW w:w="1460" w:type="dxa"/>
            <w:tcBorders>
              <w:top w:val="nil"/>
              <w:left w:val="nil"/>
              <w:bottom w:val="nil"/>
              <w:right w:val="nil"/>
            </w:tcBorders>
            <w:shd w:val="clear" w:color="auto" w:fill="auto"/>
            <w:noWrap/>
            <w:hideMark/>
          </w:tcPr>
          <w:p w14:paraId="0B57A92F" w14:textId="51BC46DE" w:rsidR="00FD6C1D" w:rsidRPr="009C6D5F" w:rsidRDefault="00FD6C1D" w:rsidP="00FD6C1D">
            <w:pPr>
              <w:spacing w:after="0"/>
              <w:jc w:val="right"/>
              <w:rPr>
                <w:color w:val="000000" w:themeColor="text1"/>
              </w:rPr>
            </w:pPr>
            <w:r w:rsidRPr="001F34F8">
              <w:t>1 552</w:t>
            </w:r>
          </w:p>
        </w:tc>
        <w:tc>
          <w:tcPr>
            <w:tcW w:w="1540" w:type="dxa"/>
            <w:tcBorders>
              <w:top w:val="nil"/>
              <w:left w:val="nil"/>
              <w:bottom w:val="nil"/>
              <w:right w:val="nil"/>
            </w:tcBorders>
            <w:shd w:val="clear" w:color="auto" w:fill="auto"/>
            <w:noWrap/>
            <w:hideMark/>
          </w:tcPr>
          <w:p w14:paraId="3D02348F" w14:textId="3C988945" w:rsidR="00FD6C1D" w:rsidRPr="009C6D5F" w:rsidRDefault="00FD6C1D" w:rsidP="00FD6C1D">
            <w:pPr>
              <w:spacing w:after="0"/>
              <w:jc w:val="right"/>
              <w:rPr>
                <w:color w:val="000000" w:themeColor="text1"/>
              </w:rPr>
            </w:pPr>
            <w:r w:rsidRPr="001F34F8">
              <w:t>0</w:t>
            </w:r>
          </w:p>
        </w:tc>
        <w:tc>
          <w:tcPr>
            <w:tcW w:w="1960" w:type="dxa"/>
            <w:tcBorders>
              <w:top w:val="nil"/>
              <w:left w:val="nil"/>
              <w:bottom w:val="nil"/>
              <w:right w:val="nil"/>
            </w:tcBorders>
            <w:shd w:val="clear" w:color="auto" w:fill="auto"/>
            <w:noWrap/>
            <w:hideMark/>
          </w:tcPr>
          <w:p w14:paraId="18A72C8A" w14:textId="4920B3EC" w:rsidR="00FD6C1D" w:rsidRPr="009C6D5F" w:rsidRDefault="00FD6C1D" w:rsidP="00FD6C1D">
            <w:pPr>
              <w:spacing w:after="0"/>
              <w:jc w:val="right"/>
              <w:rPr>
                <w:color w:val="000000" w:themeColor="text1"/>
              </w:rPr>
            </w:pPr>
            <w:r w:rsidRPr="001F34F8">
              <w:t>0</w:t>
            </w:r>
          </w:p>
        </w:tc>
      </w:tr>
      <w:tr w:rsidR="00FD6C1D" w:rsidRPr="009C6D5F" w14:paraId="6E7BF084" w14:textId="77777777" w:rsidTr="002C6F50">
        <w:trPr>
          <w:trHeight w:val="330"/>
        </w:trPr>
        <w:tc>
          <w:tcPr>
            <w:tcW w:w="4260" w:type="dxa"/>
            <w:tcBorders>
              <w:top w:val="nil"/>
              <w:left w:val="nil"/>
              <w:right w:val="nil"/>
            </w:tcBorders>
            <w:shd w:val="clear" w:color="auto" w:fill="auto"/>
            <w:vAlign w:val="center"/>
            <w:hideMark/>
          </w:tcPr>
          <w:p w14:paraId="08E03363" w14:textId="3A6534E6"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Kapitálové expozície</w:t>
            </w:r>
          </w:p>
        </w:tc>
        <w:tc>
          <w:tcPr>
            <w:tcW w:w="1460" w:type="dxa"/>
            <w:tcBorders>
              <w:top w:val="nil"/>
              <w:left w:val="nil"/>
              <w:right w:val="nil"/>
            </w:tcBorders>
            <w:shd w:val="clear" w:color="auto" w:fill="auto"/>
            <w:noWrap/>
            <w:hideMark/>
          </w:tcPr>
          <w:p w14:paraId="1C200893" w14:textId="3FEF1BB6" w:rsidR="00FD6C1D" w:rsidRPr="009C6D5F" w:rsidRDefault="00FD6C1D" w:rsidP="00FD6C1D">
            <w:pPr>
              <w:spacing w:after="0"/>
              <w:jc w:val="right"/>
              <w:rPr>
                <w:color w:val="000000" w:themeColor="text1"/>
              </w:rPr>
            </w:pPr>
            <w:r w:rsidRPr="001F34F8">
              <w:t>0</w:t>
            </w:r>
          </w:p>
        </w:tc>
        <w:tc>
          <w:tcPr>
            <w:tcW w:w="1540" w:type="dxa"/>
            <w:tcBorders>
              <w:top w:val="nil"/>
              <w:left w:val="nil"/>
              <w:right w:val="nil"/>
            </w:tcBorders>
            <w:shd w:val="clear" w:color="auto" w:fill="auto"/>
            <w:noWrap/>
            <w:hideMark/>
          </w:tcPr>
          <w:p w14:paraId="13F5BE4E" w14:textId="4D2971BE" w:rsidR="00FD6C1D" w:rsidRPr="009C6D5F" w:rsidRDefault="00FD6C1D" w:rsidP="00FD6C1D">
            <w:pPr>
              <w:spacing w:after="0"/>
              <w:jc w:val="right"/>
              <w:rPr>
                <w:color w:val="000000" w:themeColor="text1"/>
              </w:rPr>
            </w:pPr>
            <w:r w:rsidRPr="001F34F8">
              <w:t>0</w:t>
            </w:r>
          </w:p>
        </w:tc>
        <w:tc>
          <w:tcPr>
            <w:tcW w:w="1960" w:type="dxa"/>
            <w:tcBorders>
              <w:top w:val="nil"/>
              <w:left w:val="nil"/>
              <w:right w:val="nil"/>
            </w:tcBorders>
            <w:shd w:val="clear" w:color="auto" w:fill="auto"/>
            <w:noWrap/>
            <w:hideMark/>
          </w:tcPr>
          <w:p w14:paraId="55927413" w14:textId="19BDA2AA" w:rsidR="00FD6C1D" w:rsidRPr="009C6D5F" w:rsidRDefault="00FD6C1D" w:rsidP="00FD6C1D">
            <w:pPr>
              <w:spacing w:after="0"/>
              <w:jc w:val="right"/>
              <w:rPr>
                <w:color w:val="000000" w:themeColor="text1"/>
              </w:rPr>
            </w:pPr>
            <w:r w:rsidRPr="001F34F8">
              <w:t>1 133</w:t>
            </w:r>
          </w:p>
        </w:tc>
      </w:tr>
      <w:tr w:rsidR="00FD6C1D" w:rsidRPr="00B13FC6" w14:paraId="1ADBD320" w14:textId="77777777" w:rsidTr="002C6F50">
        <w:trPr>
          <w:trHeight w:val="330"/>
        </w:trPr>
        <w:tc>
          <w:tcPr>
            <w:tcW w:w="4260" w:type="dxa"/>
            <w:tcBorders>
              <w:top w:val="nil"/>
              <w:left w:val="nil"/>
              <w:bottom w:val="single" w:sz="4" w:space="0" w:color="auto"/>
              <w:right w:val="nil"/>
            </w:tcBorders>
            <w:shd w:val="clear" w:color="auto" w:fill="auto"/>
            <w:vAlign w:val="center"/>
          </w:tcPr>
          <w:p w14:paraId="23C6DC36" w14:textId="01A1C2EC"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Iné položky</w:t>
            </w:r>
          </w:p>
        </w:tc>
        <w:tc>
          <w:tcPr>
            <w:tcW w:w="1460" w:type="dxa"/>
            <w:tcBorders>
              <w:top w:val="nil"/>
              <w:left w:val="nil"/>
              <w:bottom w:val="single" w:sz="4" w:space="0" w:color="auto"/>
              <w:right w:val="nil"/>
            </w:tcBorders>
            <w:shd w:val="clear" w:color="auto" w:fill="auto"/>
            <w:noWrap/>
          </w:tcPr>
          <w:p w14:paraId="1EFAB898" w14:textId="39BB3C77" w:rsidR="00FD6C1D" w:rsidRPr="009C6D5F" w:rsidRDefault="00FD6C1D" w:rsidP="00FD6C1D">
            <w:pPr>
              <w:spacing w:after="0"/>
              <w:jc w:val="right"/>
              <w:rPr>
                <w:color w:val="000000" w:themeColor="text1"/>
              </w:rPr>
            </w:pPr>
            <w:r w:rsidRPr="001F34F8">
              <w:t>0</w:t>
            </w:r>
          </w:p>
        </w:tc>
        <w:tc>
          <w:tcPr>
            <w:tcW w:w="1540" w:type="dxa"/>
            <w:tcBorders>
              <w:top w:val="nil"/>
              <w:left w:val="nil"/>
              <w:bottom w:val="single" w:sz="4" w:space="0" w:color="auto"/>
              <w:right w:val="nil"/>
            </w:tcBorders>
            <w:shd w:val="clear" w:color="auto" w:fill="auto"/>
            <w:noWrap/>
          </w:tcPr>
          <w:p w14:paraId="138862CF" w14:textId="56DEEED0" w:rsidR="00FD6C1D" w:rsidRPr="009C6D5F" w:rsidRDefault="00FD6C1D" w:rsidP="00FD6C1D">
            <w:pPr>
              <w:spacing w:after="0"/>
              <w:jc w:val="right"/>
              <w:rPr>
                <w:color w:val="000000" w:themeColor="text1"/>
              </w:rPr>
            </w:pPr>
            <w:r w:rsidRPr="001F34F8">
              <w:t>0</w:t>
            </w:r>
          </w:p>
        </w:tc>
        <w:tc>
          <w:tcPr>
            <w:tcW w:w="1960" w:type="dxa"/>
            <w:tcBorders>
              <w:top w:val="nil"/>
              <w:left w:val="nil"/>
              <w:bottom w:val="single" w:sz="4" w:space="0" w:color="auto"/>
              <w:right w:val="nil"/>
            </w:tcBorders>
            <w:shd w:val="clear" w:color="auto" w:fill="auto"/>
            <w:noWrap/>
          </w:tcPr>
          <w:p w14:paraId="72434C87" w14:textId="618559D8" w:rsidR="00FD6C1D" w:rsidRPr="00B13FC6" w:rsidRDefault="00FD6C1D" w:rsidP="00FD6C1D">
            <w:pPr>
              <w:spacing w:after="0"/>
              <w:jc w:val="right"/>
              <w:rPr>
                <w:color w:val="000000" w:themeColor="text1"/>
              </w:rPr>
            </w:pPr>
            <w:r w:rsidRPr="001F34F8">
              <w:t>64 483</w:t>
            </w:r>
          </w:p>
        </w:tc>
      </w:tr>
    </w:tbl>
    <w:p w14:paraId="229D1B52" w14:textId="64BD44E9" w:rsidR="00C60CC2" w:rsidRPr="00B13FC6" w:rsidRDefault="00C60CC2" w:rsidP="00C60CC2">
      <w:pPr>
        <w:pStyle w:val="ListParagraph"/>
        <w:ind w:left="567" w:right="-426"/>
        <w:rPr>
          <w:rFonts w:ascii="Arial" w:hAnsi="Arial" w:cs="Arial"/>
          <w:b/>
          <w:sz w:val="20"/>
          <w:szCs w:val="20"/>
        </w:rPr>
      </w:pPr>
    </w:p>
    <w:p w14:paraId="4C097FD3" w14:textId="6657F6DB" w:rsidR="00C305B8" w:rsidRPr="00B13FC6" w:rsidRDefault="00C305B8" w:rsidP="00C60CC2">
      <w:pPr>
        <w:pStyle w:val="ListParagraph"/>
        <w:ind w:left="567" w:right="-426"/>
        <w:rPr>
          <w:rFonts w:ascii="Arial" w:hAnsi="Arial" w:cs="Arial"/>
          <w:b/>
          <w:sz w:val="20"/>
          <w:szCs w:val="20"/>
        </w:rPr>
      </w:pPr>
    </w:p>
    <w:p w14:paraId="57A612B0" w14:textId="4B544F8A" w:rsidR="00C305B8" w:rsidRPr="00B13FC6" w:rsidRDefault="00C305B8" w:rsidP="00C60CC2">
      <w:pPr>
        <w:pStyle w:val="ListParagraph"/>
        <w:ind w:left="567" w:right="-426"/>
        <w:rPr>
          <w:rFonts w:ascii="Arial" w:hAnsi="Arial" w:cs="Arial"/>
          <w:b/>
          <w:sz w:val="20"/>
          <w:szCs w:val="20"/>
        </w:rPr>
      </w:pPr>
    </w:p>
    <w:p w14:paraId="7C7C2E88" w14:textId="49BF7ABA" w:rsidR="00C305B8" w:rsidRPr="00B13FC6" w:rsidRDefault="00C305B8" w:rsidP="00C60CC2">
      <w:pPr>
        <w:pStyle w:val="ListParagraph"/>
        <w:ind w:left="567" w:right="-426"/>
        <w:rPr>
          <w:rFonts w:ascii="Arial" w:hAnsi="Arial" w:cs="Arial"/>
          <w:b/>
          <w:sz w:val="20"/>
          <w:szCs w:val="20"/>
        </w:rPr>
      </w:pPr>
    </w:p>
    <w:p w14:paraId="51D412C0" w14:textId="2CAF7136" w:rsidR="00C305B8" w:rsidRPr="00B13FC6" w:rsidRDefault="00C305B8" w:rsidP="00C60CC2">
      <w:pPr>
        <w:pStyle w:val="ListParagraph"/>
        <w:ind w:left="567" w:right="-426"/>
        <w:rPr>
          <w:rFonts w:ascii="Arial" w:hAnsi="Arial" w:cs="Arial"/>
          <w:b/>
          <w:sz w:val="20"/>
          <w:szCs w:val="20"/>
        </w:rPr>
      </w:pPr>
    </w:p>
    <w:p w14:paraId="6196F756" w14:textId="691BF12D" w:rsidR="00C305B8" w:rsidRPr="00B13FC6" w:rsidRDefault="00C305B8" w:rsidP="00C60CC2">
      <w:pPr>
        <w:pStyle w:val="ListParagraph"/>
        <w:ind w:left="567" w:right="-426"/>
        <w:rPr>
          <w:rFonts w:ascii="Arial" w:hAnsi="Arial" w:cs="Arial"/>
          <w:b/>
          <w:sz w:val="20"/>
          <w:szCs w:val="20"/>
        </w:rPr>
      </w:pPr>
    </w:p>
    <w:p w14:paraId="70004781" w14:textId="3F0948B1" w:rsidR="00C305B8" w:rsidRPr="00B13FC6" w:rsidRDefault="00C305B8" w:rsidP="00C60CC2">
      <w:pPr>
        <w:pStyle w:val="ListParagraph"/>
        <w:ind w:left="567" w:right="-426"/>
        <w:rPr>
          <w:rFonts w:ascii="Arial" w:hAnsi="Arial" w:cs="Arial"/>
          <w:b/>
          <w:sz w:val="20"/>
          <w:szCs w:val="20"/>
        </w:rPr>
      </w:pPr>
    </w:p>
    <w:p w14:paraId="623681B2" w14:textId="177A4417" w:rsidR="00C305B8" w:rsidRPr="00B13FC6" w:rsidRDefault="00C305B8" w:rsidP="00C60CC2">
      <w:pPr>
        <w:pStyle w:val="ListParagraph"/>
        <w:ind w:left="567" w:right="-426"/>
        <w:rPr>
          <w:rFonts w:ascii="Arial" w:hAnsi="Arial" w:cs="Arial"/>
          <w:b/>
          <w:sz w:val="20"/>
          <w:szCs w:val="20"/>
        </w:rPr>
      </w:pPr>
    </w:p>
    <w:p w14:paraId="4892EB37" w14:textId="630E933F" w:rsidR="00C305B8" w:rsidRPr="00B13FC6" w:rsidRDefault="00C305B8" w:rsidP="00C60CC2">
      <w:pPr>
        <w:pStyle w:val="ListParagraph"/>
        <w:ind w:left="567" w:right="-426"/>
        <w:rPr>
          <w:rFonts w:ascii="Arial" w:hAnsi="Arial" w:cs="Arial"/>
          <w:b/>
          <w:sz w:val="20"/>
          <w:szCs w:val="20"/>
        </w:rPr>
      </w:pPr>
    </w:p>
    <w:p w14:paraId="4133D265" w14:textId="11DC9C2D" w:rsidR="00C305B8" w:rsidRPr="00B13FC6" w:rsidRDefault="00C305B8" w:rsidP="00C60CC2">
      <w:pPr>
        <w:pStyle w:val="ListParagraph"/>
        <w:ind w:left="567" w:right="-426"/>
        <w:rPr>
          <w:rFonts w:ascii="Arial" w:hAnsi="Arial" w:cs="Arial"/>
          <w:b/>
          <w:sz w:val="20"/>
          <w:szCs w:val="20"/>
        </w:rPr>
      </w:pPr>
    </w:p>
    <w:p w14:paraId="576032CD" w14:textId="437AD1E5" w:rsidR="00C305B8" w:rsidRPr="00B13FC6" w:rsidRDefault="00C305B8" w:rsidP="00C60CC2">
      <w:pPr>
        <w:pStyle w:val="ListParagraph"/>
        <w:ind w:left="567" w:right="-426"/>
        <w:rPr>
          <w:rFonts w:ascii="Arial" w:hAnsi="Arial" w:cs="Arial"/>
          <w:b/>
          <w:sz w:val="20"/>
          <w:szCs w:val="20"/>
        </w:rPr>
      </w:pPr>
    </w:p>
    <w:p w14:paraId="59D308F8" w14:textId="1E6D863E" w:rsidR="00C305B8" w:rsidRPr="00B13FC6" w:rsidRDefault="00C305B8" w:rsidP="00C60CC2">
      <w:pPr>
        <w:pStyle w:val="ListParagraph"/>
        <w:ind w:left="567" w:right="-426"/>
        <w:rPr>
          <w:rFonts w:ascii="Arial" w:hAnsi="Arial" w:cs="Arial"/>
          <w:b/>
          <w:sz w:val="20"/>
          <w:szCs w:val="20"/>
        </w:rPr>
      </w:pPr>
    </w:p>
    <w:p w14:paraId="6AC3B8BC" w14:textId="2C3D7E94" w:rsidR="00C305B8" w:rsidRPr="00B13FC6" w:rsidRDefault="00C305B8" w:rsidP="00C60CC2">
      <w:pPr>
        <w:pStyle w:val="ListParagraph"/>
        <w:ind w:left="567" w:right="-426"/>
        <w:rPr>
          <w:rFonts w:ascii="Arial" w:hAnsi="Arial" w:cs="Arial"/>
          <w:b/>
          <w:sz w:val="20"/>
          <w:szCs w:val="20"/>
        </w:rPr>
      </w:pPr>
    </w:p>
    <w:p w14:paraId="4E2DC789" w14:textId="54D64F49" w:rsidR="00C305B8" w:rsidRPr="00B13FC6" w:rsidRDefault="00C305B8" w:rsidP="00C60CC2">
      <w:pPr>
        <w:pStyle w:val="ListParagraph"/>
        <w:ind w:left="567" w:right="-426"/>
        <w:rPr>
          <w:rFonts w:ascii="Arial" w:hAnsi="Arial" w:cs="Arial"/>
          <w:b/>
          <w:sz w:val="20"/>
          <w:szCs w:val="20"/>
        </w:rPr>
      </w:pPr>
    </w:p>
    <w:p w14:paraId="3CAC8FCB" w14:textId="43E25D70" w:rsidR="00C305B8" w:rsidRPr="00B13FC6" w:rsidRDefault="00C305B8" w:rsidP="00C60CC2">
      <w:pPr>
        <w:pStyle w:val="ListParagraph"/>
        <w:ind w:left="567" w:right="-426"/>
        <w:rPr>
          <w:rFonts w:ascii="Arial" w:hAnsi="Arial" w:cs="Arial"/>
          <w:b/>
          <w:sz w:val="20"/>
          <w:szCs w:val="20"/>
        </w:rPr>
      </w:pPr>
    </w:p>
    <w:p w14:paraId="5E2764C8" w14:textId="57C9A09E" w:rsidR="00C305B8" w:rsidRPr="00B13FC6" w:rsidRDefault="00C305B8" w:rsidP="00C60CC2">
      <w:pPr>
        <w:pStyle w:val="ListParagraph"/>
        <w:ind w:left="567" w:right="-426"/>
        <w:rPr>
          <w:rFonts w:ascii="Arial" w:hAnsi="Arial" w:cs="Arial"/>
          <w:b/>
          <w:sz w:val="20"/>
          <w:szCs w:val="20"/>
        </w:rPr>
      </w:pPr>
    </w:p>
    <w:p w14:paraId="6D23BFF6" w14:textId="4C635761" w:rsidR="00C305B8" w:rsidRPr="00B13FC6" w:rsidRDefault="00C305B8" w:rsidP="00C60CC2">
      <w:pPr>
        <w:pStyle w:val="ListParagraph"/>
        <w:ind w:left="567" w:right="-426"/>
        <w:rPr>
          <w:rFonts w:ascii="Arial" w:hAnsi="Arial" w:cs="Arial"/>
          <w:b/>
          <w:sz w:val="20"/>
          <w:szCs w:val="20"/>
        </w:rPr>
      </w:pPr>
    </w:p>
    <w:p w14:paraId="1A1BF0E4" w14:textId="7E4D66E2" w:rsidR="00C305B8" w:rsidRPr="00B13FC6" w:rsidRDefault="00C305B8" w:rsidP="00C60CC2">
      <w:pPr>
        <w:pStyle w:val="ListParagraph"/>
        <w:ind w:left="567" w:right="-426"/>
        <w:rPr>
          <w:rFonts w:ascii="Arial" w:hAnsi="Arial" w:cs="Arial"/>
          <w:b/>
          <w:sz w:val="20"/>
          <w:szCs w:val="20"/>
        </w:rPr>
      </w:pPr>
    </w:p>
    <w:p w14:paraId="7A70FAE9" w14:textId="0FA03FFD" w:rsidR="00C305B8" w:rsidRPr="00B13FC6" w:rsidRDefault="00C305B8" w:rsidP="00C60CC2">
      <w:pPr>
        <w:pStyle w:val="ListParagraph"/>
        <w:ind w:left="567" w:right="-426"/>
        <w:rPr>
          <w:rFonts w:ascii="Arial" w:hAnsi="Arial" w:cs="Arial"/>
          <w:b/>
          <w:sz w:val="20"/>
          <w:szCs w:val="20"/>
        </w:rPr>
      </w:pPr>
    </w:p>
    <w:p w14:paraId="11C38BC7" w14:textId="236A8458" w:rsidR="00C305B8" w:rsidRPr="00B13FC6" w:rsidRDefault="00C305B8" w:rsidP="00C60CC2">
      <w:pPr>
        <w:pStyle w:val="ListParagraph"/>
        <w:ind w:left="567" w:right="-426"/>
        <w:rPr>
          <w:rFonts w:ascii="Arial" w:hAnsi="Arial" w:cs="Arial"/>
          <w:b/>
          <w:sz w:val="20"/>
          <w:szCs w:val="20"/>
        </w:rPr>
      </w:pPr>
    </w:p>
    <w:p w14:paraId="4863F0EB" w14:textId="281BC8FB" w:rsidR="00C305B8" w:rsidRPr="00B13FC6" w:rsidRDefault="00C305B8" w:rsidP="00C60CC2">
      <w:pPr>
        <w:pStyle w:val="ListParagraph"/>
        <w:ind w:left="567" w:right="-426"/>
        <w:rPr>
          <w:rFonts w:ascii="Arial" w:hAnsi="Arial" w:cs="Arial"/>
          <w:b/>
          <w:sz w:val="20"/>
          <w:szCs w:val="20"/>
        </w:rPr>
      </w:pPr>
    </w:p>
    <w:p w14:paraId="4CFA14AF" w14:textId="37F2D4AA" w:rsidR="00C305B8" w:rsidRPr="00B13FC6" w:rsidRDefault="00C305B8" w:rsidP="00C60CC2">
      <w:pPr>
        <w:pStyle w:val="ListParagraph"/>
        <w:ind w:left="567" w:right="-426"/>
        <w:rPr>
          <w:rFonts w:ascii="Arial" w:hAnsi="Arial" w:cs="Arial"/>
          <w:b/>
          <w:sz w:val="20"/>
          <w:szCs w:val="20"/>
        </w:rPr>
      </w:pPr>
    </w:p>
    <w:p w14:paraId="79D5563F" w14:textId="5A74AA57" w:rsidR="00C305B8" w:rsidRPr="00B13FC6" w:rsidRDefault="00C305B8" w:rsidP="00C60CC2">
      <w:pPr>
        <w:pStyle w:val="ListParagraph"/>
        <w:ind w:left="567" w:right="-426"/>
        <w:rPr>
          <w:rFonts w:ascii="Arial" w:hAnsi="Arial" w:cs="Arial"/>
          <w:b/>
          <w:sz w:val="20"/>
          <w:szCs w:val="20"/>
        </w:rPr>
      </w:pPr>
    </w:p>
    <w:p w14:paraId="48B7C058" w14:textId="4A5BDFCB" w:rsidR="00C305B8" w:rsidRPr="00B13FC6" w:rsidRDefault="00C305B8" w:rsidP="00C60CC2">
      <w:pPr>
        <w:pStyle w:val="ListParagraph"/>
        <w:ind w:left="567" w:right="-426"/>
        <w:rPr>
          <w:rFonts w:ascii="Arial" w:hAnsi="Arial" w:cs="Arial"/>
          <w:b/>
          <w:sz w:val="20"/>
          <w:szCs w:val="20"/>
        </w:rPr>
      </w:pPr>
    </w:p>
    <w:p w14:paraId="41A54178" w14:textId="656F933B" w:rsidR="00C305B8" w:rsidRPr="00B13FC6" w:rsidRDefault="00C305B8" w:rsidP="00C60CC2">
      <w:pPr>
        <w:pStyle w:val="ListParagraph"/>
        <w:ind w:left="567" w:right="-426"/>
        <w:rPr>
          <w:rFonts w:ascii="Arial" w:hAnsi="Arial" w:cs="Arial"/>
          <w:b/>
          <w:sz w:val="20"/>
          <w:szCs w:val="20"/>
        </w:rPr>
      </w:pPr>
    </w:p>
    <w:p w14:paraId="04701E45" w14:textId="4B254CFE" w:rsidR="00C305B8" w:rsidRPr="00B13FC6" w:rsidRDefault="00C305B8" w:rsidP="00C60CC2">
      <w:pPr>
        <w:pStyle w:val="ListParagraph"/>
        <w:ind w:left="567" w:right="-426"/>
        <w:rPr>
          <w:rFonts w:ascii="Arial" w:hAnsi="Arial" w:cs="Arial"/>
          <w:b/>
          <w:sz w:val="20"/>
          <w:szCs w:val="20"/>
        </w:rPr>
      </w:pPr>
    </w:p>
    <w:p w14:paraId="71079253" w14:textId="52F7B433" w:rsidR="00C305B8" w:rsidRPr="00B13FC6" w:rsidRDefault="00C305B8" w:rsidP="00C60CC2">
      <w:pPr>
        <w:pStyle w:val="ListParagraph"/>
        <w:ind w:left="567" w:right="-426"/>
        <w:rPr>
          <w:rFonts w:ascii="Arial" w:hAnsi="Arial" w:cs="Arial"/>
          <w:b/>
          <w:sz w:val="20"/>
          <w:szCs w:val="20"/>
        </w:rPr>
      </w:pPr>
    </w:p>
    <w:p w14:paraId="03C8D8A1" w14:textId="220CE5A5" w:rsidR="00C305B8" w:rsidRPr="00B13FC6" w:rsidRDefault="00C305B8" w:rsidP="00C60CC2">
      <w:pPr>
        <w:pStyle w:val="ListParagraph"/>
        <w:ind w:left="567" w:right="-426"/>
        <w:rPr>
          <w:rFonts w:ascii="Arial" w:hAnsi="Arial" w:cs="Arial"/>
          <w:b/>
          <w:sz w:val="20"/>
          <w:szCs w:val="20"/>
        </w:rPr>
      </w:pPr>
    </w:p>
    <w:p w14:paraId="63D2AD67" w14:textId="77777777" w:rsidR="00C305B8" w:rsidRPr="00B13FC6" w:rsidRDefault="00C305B8" w:rsidP="00C60CC2">
      <w:pPr>
        <w:pStyle w:val="ListParagraph"/>
        <w:ind w:left="567" w:right="-426"/>
        <w:rPr>
          <w:rFonts w:ascii="Arial" w:hAnsi="Arial" w:cs="Arial"/>
          <w:b/>
          <w:sz w:val="20"/>
          <w:szCs w:val="20"/>
        </w:rPr>
      </w:pPr>
    </w:p>
    <w:p w14:paraId="1EB7C8E9" w14:textId="77777777" w:rsidR="00C305B8" w:rsidRPr="00B13FC6" w:rsidRDefault="00C305B8" w:rsidP="00C305B8">
      <w:pPr>
        <w:ind w:left="360" w:right="-426"/>
        <w:jc w:val="both"/>
        <w:rPr>
          <w:rFonts w:ascii="Arial" w:hAnsi="Arial" w:cs="Arial"/>
          <w:b/>
          <w:sz w:val="20"/>
          <w:szCs w:val="20"/>
        </w:rPr>
      </w:pPr>
    </w:p>
    <w:p w14:paraId="002DD5EF" w14:textId="30D60CDA" w:rsidR="00C60CC2" w:rsidRPr="00A460E6" w:rsidRDefault="00C60CC2" w:rsidP="00CB6699">
      <w:pPr>
        <w:pStyle w:val="ListParagraph"/>
        <w:numPr>
          <w:ilvl w:val="0"/>
          <w:numId w:val="36"/>
        </w:numPr>
        <w:ind w:right="-426"/>
        <w:jc w:val="both"/>
        <w:rPr>
          <w:rFonts w:ascii="Arial" w:hAnsi="Arial" w:cs="Arial"/>
          <w:b/>
          <w:sz w:val="20"/>
          <w:szCs w:val="20"/>
        </w:rPr>
      </w:pPr>
      <w:r w:rsidRPr="00A460E6">
        <w:rPr>
          <w:rFonts w:ascii="Arial" w:hAnsi="Arial" w:cs="Arial"/>
          <w:b/>
          <w:sz w:val="20"/>
          <w:szCs w:val="20"/>
        </w:rPr>
        <w:t>Za každé významné hospodárske odvetvie hodnota: expozície zhoršenej kvality a expozície po termíne splatnosti, špecifických a všeobecných úprav kreditného rizika, kapitálových požiadaviek pre špecifické a všeobecné úpravy kreditného rizika počas vykazovaného obdobia</w:t>
      </w:r>
    </w:p>
    <w:p w14:paraId="3474B426" w14:textId="2AA5B638" w:rsidR="00C305B8" w:rsidRPr="00B13FC6" w:rsidRDefault="00C305B8" w:rsidP="00C60CC2">
      <w:pPr>
        <w:pStyle w:val="ListParagraph"/>
        <w:ind w:left="567" w:right="-426"/>
        <w:rPr>
          <w:rFonts w:ascii="Arial" w:hAnsi="Arial" w:cs="Arial"/>
          <w:b/>
          <w:sz w:val="20"/>
          <w:szCs w:val="20"/>
        </w:rPr>
      </w:pPr>
    </w:p>
    <w:p w14:paraId="15CF7E2A" w14:textId="12C0CF6A" w:rsidR="00C60CC2" w:rsidRPr="00B13FC6" w:rsidRDefault="00C60CC2" w:rsidP="00CB6699">
      <w:pPr>
        <w:pStyle w:val="ListParagraph"/>
        <w:ind w:left="993" w:right="-426" w:hanging="284"/>
        <w:jc w:val="both"/>
        <w:rPr>
          <w:rFonts w:ascii="Arial" w:hAnsi="Arial" w:cs="Arial"/>
          <w:sz w:val="20"/>
          <w:szCs w:val="20"/>
        </w:rPr>
      </w:pPr>
      <w:r w:rsidRPr="00B13FC6">
        <w:rPr>
          <w:rFonts w:ascii="Arial" w:hAnsi="Arial" w:cs="Arial"/>
          <w:sz w:val="20"/>
          <w:szCs w:val="20"/>
        </w:rPr>
        <w:t xml:space="preserve">1. </w:t>
      </w:r>
      <w:r w:rsidRPr="00B13FC6">
        <w:rPr>
          <w:rFonts w:ascii="Arial" w:hAnsi="Arial" w:cs="Arial"/>
          <w:sz w:val="20"/>
          <w:szCs w:val="20"/>
        </w:rPr>
        <w:tab/>
        <w:t>Súhrnná výška expozícií so zníženou hodnotou a súhrnná výška expozícií po splatnosti, výška úpravy ocenenia špecifických a všeobecných úprav kreditného rizika</w:t>
      </w:r>
    </w:p>
    <w:tbl>
      <w:tblPr>
        <w:tblW w:w="8760" w:type="dxa"/>
        <w:tblCellMar>
          <w:left w:w="70" w:type="dxa"/>
          <w:right w:w="70" w:type="dxa"/>
        </w:tblCellMar>
        <w:tblLook w:val="04A0" w:firstRow="1" w:lastRow="0" w:firstColumn="1" w:lastColumn="0" w:noHBand="0" w:noVBand="1"/>
      </w:tblPr>
      <w:tblGrid>
        <w:gridCol w:w="1120"/>
        <w:gridCol w:w="960"/>
        <w:gridCol w:w="960"/>
        <w:gridCol w:w="960"/>
        <w:gridCol w:w="2380"/>
        <w:gridCol w:w="2380"/>
      </w:tblGrid>
      <w:tr w:rsidR="00250FCC" w:rsidRPr="009C6D5F" w14:paraId="460749F0" w14:textId="77777777" w:rsidTr="00250FCC">
        <w:trPr>
          <w:trHeight w:val="270"/>
        </w:trPr>
        <w:tc>
          <w:tcPr>
            <w:tcW w:w="1120" w:type="dxa"/>
            <w:tcBorders>
              <w:top w:val="nil"/>
              <w:left w:val="nil"/>
              <w:bottom w:val="nil"/>
              <w:right w:val="nil"/>
            </w:tcBorders>
            <w:shd w:val="clear" w:color="auto" w:fill="auto"/>
            <w:noWrap/>
            <w:vAlign w:val="bottom"/>
            <w:hideMark/>
          </w:tcPr>
          <w:p w14:paraId="0DFA817B" w14:textId="77777777" w:rsidR="00250FCC" w:rsidRPr="00B13FC6" w:rsidRDefault="00250FCC" w:rsidP="00250FCC">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E45FE55" w14:textId="77777777" w:rsidR="00250FCC" w:rsidRPr="00B13FC6"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3AFAFD" w14:textId="77777777" w:rsidR="00250FCC" w:rsidRPr="00B13FC6"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BB9C44" w14:textId="77777777" w:rsidR="00250FCC" w:rsidRPr="00B13FC6" w:rsidRDefault="00250FCC" w:rsidP="00250FCC">
            <w:pPr>
              <w:spacing w:after="0" w:line="240" w:lineRule="auto"/>
              <w:rPr>
                <w:rFonts w:ascii="Times New Roman" w:eastAsia="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14:paraId="7366CD2B" w14:textId="77777777" w:rsidR="00250FCC" w:rsidRPr="00B13FC6" w:rsidRDefault="00250FCC" w:rsidP="00250FCC">
            <w:pPr>
              <w:spacing w:after="0" w:line="240" w:lineRule="auto"/>
              <w:rPr>
                <w:rFonts w:ascii="Times New Roman" w:eastAsia="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14:paraId="49D9DD30" w14:textId="77777777" w:rsidR="00250FCC" w:rsidRPr="009C6D5F" w:rsidRDefault="00250FCC" w:rsidP="00250FCC">
            <w:pPr>
              <w:spacing w:after="0" w:line="240" w:lineRule="auto"/>
              <w:jc w:val="right"/>
              <w:rPr>
                <w:rFonts w:ascii="Arial" w:eastAsia="Times New Roman" w:hAnsi="Arial" w:cs="Arial"/>
                <w:sz w:val="20"/>
                <w:szCs w:val="20"/>
              </w:rPr>
            </w:pPr>
            <w:r w:rsidRPr="009C6D5F">
              <w:rPr>
                <w:rFonts w:ascii="Arial" w:eastAsia="Times New Roman" w:hAnsi="Arial" w:cs="Arial"/>
                <w:sz w:val="20"/>
                <w:szCs w:val="20"/>
              </w:rPr>
              <w:t>(v tis. EUR)</w:t>
            </w:r>
          </w:p>
        </w:tc>
      </w:tr>
      <w:tr w:rsidR="00250FCC" w:rsidRPr="009C6D5F" w14:paraId="00E494BF" w14:textId="77777777" w:rsidTr="00250FCC">
        <w:trPr>
          <w:trHeight w:val="780"/>
        </w:trPr>
        <w:tc>
          <w:tcPr>
            <w:tcW w:w="4000" w:type="dxa"/>
            <w:gridSpan w:val="4"/>
            <w:tcBorders>
              <w:top w:val="single" w:sz="8" w:space="0" w:color="auto"/>
              <w:left w:val="nil"/>
              <w:bottom w:val="single" w:sz="8" w:space="0" w:color="auto"/>
              <w:right w:val="nil"/>
            </w:tcBorders>
            <w:shd w:val="clear" w:color="auto" w:fill="auto"/>
            <w:noWrap/>
            <w:vAlign w:val="center"/>
            <w:hideMark/>
          </w:tcPr>
          <w:p w14:paraId="20AC4B50" w14:textId="77777777" w:rsidR="00250FCC" w:rsidRPr="009C6D5F" w:rsidRDefault="00250FCC" w:rsidP="00250FCC">
            <w:pPr>
              <w:spacing w:after="0" w:line="240" w:lineRule="auto"/>
              <w:ind w:firstLineChars="300" w:firstLine="600"/>
              <w:rPr>
                <w:rFonts w:ascii="Arial" w:eastAsia="Times New Roman" w:hAnsi="Arial" w:cs="Arial"/>
                <w:b/>
                <w:bCs/>
                <w:sz w:val="20"/>
                <w:szCs w:val="20"/>
              </w:rPr>
            </w:pPr>
            <w:r w:rsidRPr="009C6D5F">
              <w:rPr>
                <w:rFonts w:ascii="Arial" w:eastAsia="Times New Roman" w:hAnsi="Arial" w:cs="Arial"/>
                <w:b/>
                <w:bCs/>
                <w:sz w:val="20"/>
                <w:szCs w:val="20"/>
              </w:rPr>
              <w:t>NACE</w:t>
            </w:r>
          </w:p>
        </w:tc>
        <w:tc>
          <w:tcPr>
            <w:tcW w:w="2380" w:type="dxa"/>
            <w:tcBorders>
              <w:top w:val="single" w:sz="8" w:space="0" w:color="auto"/>
              <w:left w:val="nil"/>
              <w:bottom w:val="single" w:sz="8" w:space="0" w:color="auto"/>
              <w:right w:val="nil"/>
            </w:tcBorders>
            <w:shd w:val="clear" w:color="auto" w:fill="auto"/>
            <w:vAlign w:val="center"/>
            <w:hideMark/>
          </w:tcPr>
          <w:p w14:paraId="0CD20EB6" w14:textId="77777777" w:rsidR="00250FCC" w:rsidRPr="009C6D5F" w:rsidRDefault="00250FCC" w:rsidP="00250FCC">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Expozície so zníženou hodnotou podľa odvetví</w:t>
            </w:r>
          </w:p>
        </w:tc>
        <w:tc>
          <w:tcPr>
            <w:tcW w:w="2380" w:type="dxa"/>
            <w:tcBorders>
              <w:top w:val="single" w:sz="8" w:space="0" w:color="auto"/>
              <w:left w:val="nil"/>
              <w:bottom w:val="single" w:sz="8" w:space="0" w:color="auto"/>
              <w:right w:val="nil"/>
            </w:tcBorders>
            <w:shd w:val="clear" w:color="auto" w:fill="auto"/>
            <w:vAlign w:val="center"/>
            <w:hideMark/>
          </w:tcPr>
          <w:p w14:paraId="718B1D01" w14:textId="77777777" w:rsidR="00250FCC" w:rsidRPr="009C6D5F" w:rsidRDefault="00250FCC" w:rsidP="00250FCC">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Expozície po splatnosti podľa odvetví</w:t>
            </w:r>
          </w:p>
        </w:tc>
      </w:tr>
      <w:tr w:rsidR="00FD6C1D" w:rsidRPr="009C6D5F" w14:paraId="7061E964" w14:textId="77777777" w:rsidTr="00A675BB">
        <w:trPr>
          <w:trHeight w:val="285"/>
        </w:trPr>
        <w:tc>
          <w:tcPr>
            <w:tcW w:w="4000" w:type="dxa"/>
            <w:gridSpan w:val="4"/>
            <w:tcBorders>
              <w:top w:val="single" w:sz="8" w:space="0" w:color="auto"/>
              <w:left w:val="nil"/>
              <w:bottom w:val="nil"/>
              <w:right w:val="nil"/>
            </w:tcBorders>
            <w:shd w:val="clear" w:color="auto" w:fill="auto"/>
            <w:noWrap/>
            <w:vAlign w:val="center"/>
            <w:hideMark/>
          </w:tcPr>
          <w:p w14:paraId="5C2B0DB8"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Výroba elektrickej energie</w:t>
            </w:r>
          </w:p>
        </w:tc>
        <w:tc>
          <w:tcPr>
            <w:tcW w:w="2380" w:type="dxa"/>
            <w:tcBorders>
              <w:top w:val="nil"/>
              <w:left w:val="nil"/>
              <w:bottom w:val="nil"/>
              <w:right w:val="nil"/>
            </w:tcBorders>
            <w:shd w:val="clear" w:color="auto" w:fill="auto"/>
            <w:noWrap/>
            <w:hideMark/>
          </w:tcPr>
          <w:p w14:paraId="7ABA3DBC" w14:textId="33C3A1D7" w:rsidR="00FD6C1D" w:rsidRPr="009C6D5F" w:rsidRDefault="00FD6C1D" w:rsidP="00FD6C1D">
            <w:pPr>
              <w:spacing w:after="0" w:line="240" w:lineRule="auto"/>
              <w:jc w:val="right"/>
              <w:rPr>
                <w:rFonts w:ascii="Calibri" w:eastAsia="Times New Roman" w:hAnsi="Calibri" w:cs="Calibri"/>
              </w:rPr>
            </w:pPr>
            <w:r w:rsidRPr="000C2E6D">
              <w:t>3 280</w:t>
            </w:r>
          </w:p>
        </w:tc>
        <w:tc>
          <w:tcPr>
            <w:tcW w:w="2380" w:type="dxa"/>
            <w:tcBorders>
              <w:top w:val="nil"/>
              <w:left w:val="nil"/>
              <w:bottom w:val="nil"/>
              <w:right w:val="nil"/>
            </w:tcBorders>
            <w:shd w:val="clear" w:color="auto" w:fill="auto"/>
            <w:noWrap/>
            <w:hideMark/>
          </w:tcPr>
          <w:p w14:paraId="55DF3E32" w14:textId="45EAC393" w:rsidR="00FD6C1D" w:rsidRPr="009C6D5F" w:rsidRDefault="00FD6C1D" w:rsidP="00FD6C1D">
            <w:pPr>
              <w:spacing w:after="0" w:line="240" w:lineRule="auto"/>
              <w:jc w:val="right"/>
              <w:rPr>
                <w:rFonts w:ascii="Calibri" w:eastAsia="Times New Roman" w:hAnsi="Calibri" w:cs="Calibri"/>
              </w:rPr>
            </w:pPr>
            <w:r w:rsidRPr="00726151">
              <w:t>2 606</w:t>
            </w:r>
          </w:p>
        </w:tc>
      </w:tr>
      <w:tr w:rsidR="00FD6C1D" w:rsidRPr="009C6D5F" w14:paraId="653C8854"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77438A60"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75207830" w14:textId="58793A88" w:rsidR="00FD6C1D" w:rsidRPr="009C6D5F" w:rsidRDefault="00FD6C1D" w:rsidP="00FD6C1D">
            <w:pPr>
              <w:spacing w:after="0" w:line="240" w:lineRule="auto"/>
              <w:jc w:val="right"/>
              <w:rPr>
                <w:rFonts w:ascii="Calibri" w:eastAsia="Times New Roman" w:hAnsi="Calibri" w:cs="Calibri"/>
              </w:rPr>
            </w:pPr>
            <w:r w:rsidRPr="000C2E6D">
              <w:t>2 903</w:t>
            </w:r>
          </w:p>
        </w:tc>
        <w:tc>
          <w:tcPr>
            <w:tcW w:w="2380" w:type="dxa"/>
            <w:tcBorders>
              <w:top w:val="nil"/>
              <w:left w:val="nil"/>
              <w:bottom w:val="nil"/>
              <w:right w:val="nil"/>
            </w:tcBorders>
            <w:shd w:val="clear" w:color="auto" w:fill="auto"/>
            <w:noWrap/>
            <w:hideMark/>
          </w:tcPr>
          <w:p w14:paraId="79AFB841" w14:textId="57949E27" w:rsidR="00FD6C1D" w:rsidRPr="009C6D5F" w:rsidRDefault="00FD6C1D" w:rsidP="00FD6C1D">
            <w:pPr>
              <w:spacing w:after="0" w:line="240" w:lineRule="auto"/>
              <w:jc w:val="right"/>
              <w:rPr>
                <w:rFonts w:ascii="Calibri" w:eastAsia="Times New Roman" w:hAnsi="Calibri" w:cs="Calibri"/>
              </w:rPr>
            </w:pPr>
            <w:r w:rsidRPr="00726151">
              <w:t>2 565</w:t>
            </w:r>
          </w:p>
        </w:tc>
      </w:tr>
      <w:tr w:rsidR="00FD6C1D" w:rsidRPr="009C6D5F" w14:paraId="3BE6971C"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5E46DBF3"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Domácnosti</w:t>
            </w:r>
          </w:p>
        </w:tc>
        <w:tc>
          <w:tcPr>
            <w:tcW w:w="2380" w:type="dxa"/>
            <w:tcBorders>
              <w:top w:val="nil"/>
              <w:left w:val="nil"/>
              <w:bottom w:val="nil"/>
              <w:right w:val="nil"/>
            </w:tcBorders>
            <w:shd w:val="clear" w:color="auto" w:fill="auto"/>
            <w:noWrap/>
            <w:hideMark/>
          </w:tcPr>
          <w:p w14:paraId="5F70E685" w14:textId="21D43C98" w:rsidR="00FD6C1D" w:rsidRPr="009C6D5F" w:rsidRDefault="00FD6C1D" w:rsidP="00FD6C1D">
            <w:pPr>
              <w:spacing w:after="0" w:line="240" w:lineRule="auto"/>
              <w:jc w:val="right"/>
              <w:rPr>
                <w:rFonts w:ascii="Calibri" w:eastAsia="Times New Roman" w:hAnsi="Calibri" w:cs="Calibri"/>
              </w:rPr>
            </w:pPr>
            <w:r w:rsidRPr="000C2E6D">
              <w:t>64 196</w:t>
            </w:r>
          </w:p>
        </w:tc>
        <w:tc>
          <w:tcPr>
            <w:tcW w:w="2380" w:type="dxa"/>
            <w:tcBorders>
              <w:top w:val="nil"/>
              <w:left w:val="nil"/>
              <w:bottom w:val="nil"/>
              <w:right w:val="nil"/>
            </w:tcBorders>
            <w:shd w:val="clear" w:color="auto" w:fill="auto"/>
            <w:noWrap/>
            <w:hideMark/>
          </w:tcPr>
          <w:p w14:paraId="09487614" w14:textId="17182533" w:rsidR="00FD6C1D" w:rsidRPr="009C6D5F" w:rsidRDefault="00FD6C1D" w:rsidP="00FD6C1D">
            <w:pPr>
              <w:spacing w:after="0" w:line="240" w:lineRule="auto"/>
              <w:jc w:val="right"/>
              <w:rPr>
                <w:rFonts w:ascii="Calibri" w:eastAsia="Times New Roman" w:hAnsi="Calibri" w:cs="Calibri"/>
              </w:rPr>
            </w:pPr>
            <w:r w:rsidRPr="00726151">
              <w:t>45 465</w:t>
            </w:r>
          </w:p>
        </w:tc>
      </w:tr>
      <w:tr w:rsidR="00FD6C1D" w:rsidRPr="009C6D5F" w14:paraId="45F46E2E"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183FEFB5"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67DBA0C2" w14:textId="43F57435" w:rsidR="00FD6C1D" w:rsidRPr="009C6D5F" w:rsidRDefault="00FD6C1D" w:rsidP="00FD6C1D">
            <w:pPr>
              <w:spacing w:after="0" w:line="240" w:lineRule="auto"/>
              <w:jc w:val="right"/>
              <w:rPr>
                <w:rFonts w:ascii="Calibri" w:eastAsia="Times New Roman" w:hAnsi="Calibri" w:cs="Calibri"/>
              </w:rPr>
            </w:pPr>
            <w:r w:rsidRPr="000C2E6D">
              <w:t>24 716</w:t>
            </w:r>
          </w:p>
        </w:tc>
        <w:tc>
          <w:tcPr>
            <w:tcW w:w="2380" w:type="dxa"/>
            <w:tcBorders>
              <w:top w:val="nil"/>
              <w:left w:val="nil"/>
              <w:bottom w:val="nil"/>
              <w:right w:val="nil"/>
            </w:tcBorders>
            <w:shd w:val="clear" w:color="auto" w:fill="auto"/>
            <w:noWrap/>
            <w:hideMark/>
          </w:tcPr>
          <w:p w14:paraId="6FB3208B" w14:textId="0AD1CE7B" w:rsidR="00FD6C1D" w:rsidRPr="009C6D5F" w:rsidRDefault="00FD6C1D" w:rsidP="00FD6C1D">
            <w:pPr>
              <w:spacing w:after="0" w:line="240" w:lineRule="auto"/>
              <w:jc w:val="right"/>
              <w:rPr>
                <w:rFonts w:ascii="Calibri" w:eastAsia="Times New Roman" w:hAnsi="Calibri" w:cs="Calibri"/>
              </w:rPr>
            </w:pPr>
            <w:r w:rsidRPr="00726151">
              <w:t>21 298</w:t>
            </w:r>
          </w:p>
        </w:tc>
      </w:tr>
      <w:tr w:rsidR="007C663B" w:rsidRPr="009C6D5F" w14:paraId="0F1268BC"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4D33B3F3" w14:textId="77777777" w:rsidR="007C663B" w:rsidRPr="009C6D5F" w:rsidRDefault="007C663B" w:rsidP="007C663B">
            <w:pPr>
              <w:spacing w:after="0" w:line="240" w:lineRule="auto"/>
              <w:rPr>
                <w:rFonts w:ascii="Calibri" w:eastAsia="Times New Roman" w:hAnsi="Calibri" w:cs="Calibri"/>
              </w:rPr>
            </w:pPr>
            <w:r w:rsidRPr="009C6D5F">
              <w:rPr>
                <w:rFonts w:ascii="Calibri" w:eastAsia="Times New Roman" w:hAnsi="Calibri" w:cs="Calibri"/>
              </w:rPr>
              <w:t>Poľnohospodárstvo a potravinársky priemysel</w:t>
            </w:r>
          </w:p>
        </w:tc>
        <w:tc>
          <w:tcPr>
            <w:tcW w:w="2380" w:type="dxa"/>
            <w:tcBorders>
              <w:top w:val="nil"/>
              <w:left w:val="nil"/>
              <w:bottom w:val="nil"/>
              <w:right w:val="nil"/>
            </w:tcBorders>
            <w:shd w:val="clear" w:color="auto" w:fill="auto"/>
            <w:noWrap/>
            <w:hideMark/>
          </w:tcPr>
          <w:p w14:paraId="4E5B55E1" w14:textId="47279474" w:rsidR="00FD6C1D" w:rsidRPr="00FD6C1D" w:rsidRDefault="00FD6C1D" w:rsidP="00FD6C1D">
            <w:pPr>
              <w:spacing w:after="0" w:line="240" w:lineRule="auto"/>
              <w:jc w:val="right"/>
              <w:rPr>
                <w:rFonts w:ascii="Arial" w:eastAsia="Times New Roman" w:hAnsi="Arial" w:cs="Arial"/>
                <w:sz w:val="20"/>
                <w:szCs w:val="20"/>
              </w:rPr>
            </w:pPr>
            <w:r w:rsidRPr="00FD6C1D">
              <w:rPr>
                <w:rFonts w:ascii="Arial" w:hAnsi="Arial" w:cs="Arial"/>
                <w:sz w:val="20"/>
                <w:szCs w:val="20"/>
              </w:rPr>
              <w:t>9 299</w:t>
            </w:r>
          </w:p>
          <w:p w14:paraId="538B57EE" w14:textId="31817467" w:rsidR="007C663B" w:rsidRPr="009C6D5F" w:rsidRDefault="007C663B" w:rsidP="007C663B">
            <w:pPr>
              <w:spacing w:after="0" w:line="240" w:lineRule="auto"/>
              <w:jc w:val="right"/>
              <w:rPr>
                <w:rFonts w:ascii="Calibri" w:eastAsia="Times New Roman" w:hAnsi="Calibri" w:cs="Calibri"/>
              </w:rPr>
            </w:pPr>
          </w:p>
        </w:tc>
        <w:tc>
          <w:tcPr>
            <w:tcW w:w="2380" w:type="dxa"/>
            <w:tcBorders>
              <w:top w:val="nil"/>
              <w:left w:val="nil"/>
              <w:bottom w:val="nil"/>
              <w:right w:val="nil"/>
            </w:tcBorders>
            <w:shd w:val="clear" w:color="auto" w:fill="auto"/>
            <w:noWrap/>
            <w:hideMark/>
          </w:tcPr>
          <w:p w14:paraId="4D3CD4A0" w14:textId="71FC8B09" w:rsidR="00FD6C1D" w:rsidRPr="00FD6C1D" w:rsidRDefault="00FD6C1D" w:rsidP="00FD6C1D">
            <w:pPr>
              <w:spacing w:after="0" w:line="240" w:lineRule="auto"/>
              <w:jc w:val="right"/>
              <w:rPr>
                <w:rFonts w:ascii="Arial" w:eastAsia="Times New Roman" w:hAnsi="Arial" w:cs="Arial"/>
                <w:sz w:val="20"/>
                <w:szCs w:val="20"/>
              </w:rPr>
            </w:pPr>
            <w:r w:rsidRPr="00FD6C1D">
              <w:rPr>
                <w:rFonts w:ascii="Arial" w:hAnsi="Arial" w:cs="Arial"/>
                <w:sz w:val="20"/>
                <w:szCs w:val="20"/>
              </w:rPr>
              <w:t>2 333</w:t>
            </w:r>
          </w:p>
          <w:p w14:paraId="23B91975" w14:textId="158C9500" w:rsidR="007C663B" w:rsidRPr="009C6D5F" w:rsidRDefault="007C663B" w:rsidP="007C663B">
            <w:pPr>
              <w:spacing w:after="0" w:line="240" w:lineRule="auto"/>
              <w:jc w:val="right"/>
              <w:rPr>
                <w:rFonts w:ascii="Calibri" w:eastAsia="Times New Roman" w:hAnsi="Calibri" w:cs="Calibri"/>
              </w:rPr>
            </w:pPr>
          </w:p>
        </w:tc>
      </w:tr>
      <w:tr w:rsidR="00FD6C1D" w:rsidRPr="009C6D5F" w14:paraId="26E81897"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5048B5DC"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1075904B" w14:textId="7CEFEEDF" w:rsidR="00FD6C1D" w:rsidRPr="009C6D5F" w:rsidRDefault="00FD6C1D" w:rsidP="00FD6C1D">
            <w:pPr>
              <w:spacing w:after="0" w:line="240" w:lineRule="auto"/>
              <w:jc w:val="right"/>
              <w:rPr>
                <w:rFonts w:ascii="Calibri" w:eastAsia="Times New Roman" w:hAnsi="Calibri" w:cs="Calibri"/>
              </w:rPr>
            </w:pPr>
            <w:r w:rsidRPr="005905FA">
              <w:t>3 816</w:t>
            </w:r>
          </w:p>
        </w:tc>
        <w:tc>
          <w:tcPr>
            <w:tcW w:w="2380" w:type="dxa"/>
            <w:tcBorders>
              <w:top w:val="nil"/>
              <w:left w:val="nil"/>
              <w:bottom w:val="nil"/>
              <w:right w:val="nil"/>
            </w:tcBorders>
            <w:shd w:val="clear" w:color="auto" w:fill="auto"/>
            <w:noWrap/>
            <w:hideMark/>
          </w:tcPr>
          <w:p w14:paraId="092D38C8" w14:textId="12E7EA46" w:rsidR="00FD6C1D" w:rsidRPr="009C6D5F" w:rsidRDefault="00FD6C1D" w:rsidP="00FD6C1D">
            <w:pPr>
              <w:spacing w:after="0" w:line="240" w:lineRule="auto"/>
              <w:jc w:val="right"/>
              <w:rPr>
                <w:rFonts w:ascii="Calibri" w:eastAsia="Times New Roman" w:hAnsi="Calibri" w:cs="Calibri"/>
              </w:rPr>
            </w:pPr>
            <w:r w:rsidRPr="00B076D9">
              <w:t>1 954</w:t>
            </w:r>
          </w:p>
        </w:tc>
      </w:tr>
      <w:tr w:rsidR="00FD6C1D" w:rsidRPr="009C6D5F" w14:paraId="142F0832"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31041AB8" w14:textId="527D924C"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Obchod a služby</w:t>
            </w:r>
          </w:p>
        </w:tc>
        <w:tc>
          <w:tcPr>
            <w:tcW w:w="2380" w:type="dxa"/>
            <w:tcBorders>
              <w:top w:val="nil"/>
              <w:left w:val="nil"/>
              <w:bottom w:val="nil"/>
              <w:right w:val="nil"/>
            </w:tcBorders>
            <w:shd w:val="clear" w:color="auto" w:fill="auto"/>
            <w:noWrap/>
            <w:hideMark/>
          </w:tcPr>
          <w:p w14:paraId="0581D1B9" w14:textId="2D86DA4F" w:rsidR="00FD6C1D" w:rsidRPr="009C6D5F" w:rsidRDefault="00FD6C1D" w:rsidP="00FD6C1D">
            <w:pPr>
              <w:spacing w:after="0" w:line="240" w:lineRule="auto"/>
              <w:jc w:val="right"/>
              <w:rPr>
                <w:rFonts w:ascii="Calibri" w:eastAsia="Times New Roman" w:hAnsi="Calibri" w:cs="Calibri"/>
              </w:rPr>
            </w:pPr>
            <w:r w:rsidRPr="005905FA">
              <w:t>10 793</w:t>
            </w:r>
          </w:p>
        </w:tc>
        <w:tc>
          <w:tcPr>
            <w:tcW w:w="2380" w:type="dxa"/>
            <w:tcBorders>
              <w:top w:val="nil"/>
              <w:left w:val="nil"/>
              <w:bottom w:val="nil"/>
              <w:right w:val="nil"/>
            </w:tcBorders>
            <w:shd w:val="clear" w:color="auto" w:fill="auto"/>
            <w:noWrap/>
            <w:hideMark/>
          </w:tcPr>
          <w:p w14:paraId="6057679E" w14:textId="08ABEA6F" w:rsidR="00FD6C1D" w:rsidRPr="009C6D5F" w:rsidRDefault="00FD6C1D" w:rsidP="00FD6C1D">
            <w:pPr>
              <w:spacing w:after="0" w:line="240" w:lineRule="auto"/>
              <w:jc w:val="right"/>
              <w:rPr>
                <w:rFonts w:ascii="Calibri" w:eastAsia="Times New Roman" w:hAnsi="Calibri" w:cs="Calibri"/>
              </w:rPr>
            </w:pPr>
            <w:r w:rsidRPr="00B076D9">
              <w:t>6 236</w:t>
            </w:r>
          </w:p>
        </w:tc>
      </w:tr>
      <w:tr w:rsidR="00FD6C1D" w:rsidRPr="009C6D5F" w14:paraId="325ADC6F"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6B5A19F0"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7AA1F9BB" w14:textId="10FE3A74" w:rsidR="00FD6C1D" w:rsidRPr="009C6D5F" w:rsidRDefault="00FD6C1D" w:rsidP="00FD6C1D">
            <w:pPr>
              <w:spacing w:after="0" w:line="240" w:lineRule="auto"/>
              <w:jc w:val="right"/>
              <w:rPr>
                <w:rFonts w:ascii="Calibri" w:eastAsia="Times New Roman" w:hAnsi="Calibri" w:cs="Calibri"/>
              </w:rPr>
            </w:pPr>
            <w:r w:rsidRPr="005905FA">
              <w:t>5 830</w:t>
            </w:r>
          </w:p>
        </w:tc>
        <w:tc>
          <w:tcPr>
            <w:tcW w:w="2380" w:type="dxa"/>
            <w:tcBorders>
              <w:top w:val="nil"/>
              <w:left w:val="nil"/>
              <w:bottom w:val="nil"/>
              <w:right w:val="nil"/>
            </w:tcBorders>
            <w:shd w:val="clear" w:color="auto" w:fill="auto"/>
            <w:noWrap/>
            <w:hideMark/>
          </w:tcPr>
          <w:p w14:paraId="32F66A5A" w14:textId="1E6519B6" w:rsidR="00FD6C1D" w:rsidRPr="009C6D5F" w:rsidRDefault="00FD6C1D" w:rsidP="00FD6C1D">
            <w:pPr>
              <w:spacing w:after="0" w:line="240" w:lineRule="auto"/>
              <w:jc w:val="right"/>
              <w:rPr>
                <w:rFonts w:ascii="Calibri" w:eastAsia="Times New Roman" w:hAnsi="Calibri" w:cs="Calibri"/>
              </w:rPr>
            </w:pPr>
            <w:r w:rsidRPr="00B076D9">
              <w:t>4 993</w:t>
            </w:r>
          </w:p>
        </w:tc>
      </w:tr>
      <w:tr w:rsidR="00FD6C1D" w:rsidRPr="009C6D5F" w14:paraId="4FE9F4BC"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62C74AB7" w14:textId="0DF680E2"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Metalurgia a strojárenstvo</w:t>
            </w:r>
          </w:p>
        </w:tc>
        <w:tc>
          <w:tcPr>
            <w:tcW w:w="2380" w:type="dxa"/>
            <w:tcBorders>
              <w:top w:val="nil"/>
              <w:left w:val="nil"/>
              <w:bottom w:val="nil"/>
              <w:right w:val="nil"/>
            </w:tcBorders>
            <w:shd w:val="clear" w:color="auto" w:fill="auto"/>
            <w:noWrap/>
            <w:hideMark/>
          </w:tcPr>
          <w:p w14:paraId="128A37C2" w14:textId="3DA2E748" w:rsidR="00FD6C1D" w:rsidRPr="009C6D5F" w:rsidRDefault="00FD6C1D" w:rsidP="00FD6C1D">
            <w:pPr>
              <w:spacing w:after="0" w:line="240" w:lineRule="auto"/>
              <w:jc w:val="right"/>
              <w:rPr>
                <w:rFonts w:ascii="Calibri" w:eastAsia="Times New Roman" w:hAnsi="Calibri" w:cs="Calibri"/>
              </w:rPr>
            </w:pPr>
            <w:r w:rsidRPr="005905FA">
              <w:t>5 849</w:t>
            </w:r>
          </w:p>
        </w:tc>
        <w:tc>
          <w:tcPr>
            <w:tcW w:w="2380" w:type="dxa"/>
            <w:tcBorders>
              <w:top w:val="nil"/>
              <w:left w:val="nil"/>
              <w:bottom w:val="nil"/>
              <w:right w:val="nil"/>
            </w:tcBorders>
            <w:shd w:val="clear" w:color="auto" w:fill="auto"/>
            <w:noWrap/>
            <w:hideMark/>
          </w:tcPr>
          <w:p w14:paraId="5B89C8D2" w14:textId="0FD94A5E" w:rsidR="00FD6C1D" w:rsidRPr="009C6D5F" w:rsidRDefault="00FD6C1D" w:rsidP="00FD6C1D">
            <w:pPr>
              <w:spacing w:after="0" w:line="240" w:lineRule="auto"/>
              <w:jc w:val="right"/>
              <w:rPr>
                <w:rFonts w:ascii="Calibri" w:eastAsia="Times New Roman" w:hAnsi="Calibri" w:cs="Calibri"/>
              </w:rPr>
            </w:pPr>
            <w:r w:rsidRPr="00B076D9">
              <w:t>562</w:t>
            </w:r>
          </w:p>
        </w:tc>
      </w:tr>
      <w:tr w:rsidR="00FD6C1D" w:rsidRPr="009C6D5F" w14:paraId="11603813"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5D5E9EF8"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120585A9" w14:textId="77F4B83A" w:rsidR="00FD6C1D" w:rsidRPr="009C6D5F" w:rsidRDefault="00FD6C1D" w:rsidP="00FD6C1D">
            <w:pPr>
              <w:spacing w:after="0" w:line="240" w:lineRule="auto"/>
              <w:jc w:val="right"/>
              <w:rPr>
                <w:rFonts w:ascii="Calibri" w:eastAsia="Times New Roman" w:hAnsi="Calibri" w:cs="Calibri"/>
              </w:rPr>
            </w:pPr>
            <w:r w:rsidRPr="005905FA">
              <w:t>1 515</w:t>
            </w:r>
          </w:p>
        </w:tc>
        <w:tc>
          <w:tcPr>
            <w:tcW w:w="2380" w:type="dxa"/>
            <w:tcBorders>
              <w:top w:val="nil"/>
              <w:left w:val="nil"/>
              <w:bottom w:val="nil"/>
              <w:right w:val="nil"/>
            </w:tcBorders>
            <w:shd w:val="clear" w:color="auto" w:fill="auto"/>
            <w:noWrap/>
            <w:hideMark/>
          </w:tcPr>
          <w:p w14:paraId="78E557A4" w14:textId="02433BAB" w:rsidR="00FD6C1D" w:rsidRPr="009C6D5F" w:rsidRDefault="00FD6C1D" w:rsidP="00FD6C1D">
            <w:pPr>
              <w:spacing w:after="0" w:line="240" w:lineRule="auto"/>
              <w:jc w:val="right"/>
              <w:rPr>
                <w:rFonts w:ascii="Calibri" w:eastAsia="Times New Roman" w:hAnsi="Calibri" w:cs="Calibri"/>
              </w:rPr>
            </w:pPr>
            <w:r w:rsidRPr="00B076D9">
              <w:t>320</w:t>
            </w:r>
          </w:p>
        </w:tc>
      </w:tr>
      <w:tr w:rsidR="00FD6C1D" w:rsidRPr="009C6D5F" w14:paraId="38E199F0"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3353F05E"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Chemický priemysel</w:t>
            </w:r>
          </w:p>
        </w:tc>
        <w:tc>
          <w:tcPr>
            <w:tcW w:w="2380" w:type="dxa"/>
            <w:tcBorders>
              <w:top w:val="nil"/>
              <w:left w:val="nil"/>
              <w:bottom w:val="nil"/>
              <w:right w:val="nil"/>
            </w:tcBorders>
            <w:shd w:val="clear" w:color="auto" w:fill="auto"/>
            <w:noWrap/>
            <w:hideMark/>
          </w:tcPr>
          <w:p w14:paraId="36391A38" w14:textId="4CE1F81C" w:rsidR="00FD6C1D" w:rsidRPr="009C6D5F" w:rsidRDefault="00FD6C1D" w:rsidP="00FD6C1D">
            <w:pPr>
              <w:spacing w:after="0" w:line="240" w:lineRule="auto"/>
              <w:jc w:val="right"/>
              <w:rPr>
                <w:rFonts w:ascii="Calibri" w:eastAsia="Times New Roman" w:hAnsi="Calibri" w:cs="Calibri"/>
              </w:rPr>
            </w:pPr>
            <w:r w:rsidRPr="005905FA">
              <w:t>4 710</w:t>
            </w:r>
          </w:p>
        </w:tc>
        <w:tc>
          <w:tcPr>
            <w:tcW w:w="2380" w:type="dxa"/>
            <w:tcBorders>
              <w:top w:val="nil"/>
              <w:left w:val="nil"/>
              <w:bottom w:val="nil"/>
              <w:right w:val="nil"/>
            </w:tcBorders>
            <w:shd w:val="clear" w:color="auto" w:fill="auto"/>
            <w:noWrap/>
            <w:hideMark/>
          </w:tcPr>
          <w:p w14:paraId="47AFA88A" w14:textId="19243D74" w:rsidR="00FD6C1D" w:rsidRPr="009C6D5F" w:rsidRDefault="00FD6C1D" w:rsidP="00FD6C1D">
            <w:pPr>
              <w:spacing w:after="0" w:line="240" w:lineRule="auto"/>
              <w:jc w:val="right"/>
              <w:rPr>
                <w:rFonts w:ascii="Calibri" w:eastAsia="Times New Roman" w:hAnsi="Calibri" w:cs="Calibri"/>
              </w:rPr>
            </w:pPr>
            <w:r w:rsidRPr="00B076D9">
              <w:t>3</w:t>
            </w:r>
          </w:p>
        </w:tc>
      </w:tr>
      <w:tr w:rsidR="00FD6C1D" w:rsidRPr="009C6D5F" w14:paraId="1697EC10"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41DB63EE"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18956FD7" w14:textId="335EFAB0" w:rsidR="00FD6C1D" w:rsidRPr="009C6D5F" w:rsidRDefault="00FD6C1D" w:rsidP="00FD6C1D">
            <w:pPr>
              <w:spacing w:after="0" w:line="240" w:lineRule="auto"/>
              <w:jc w:val="right"/>
              <w:rPr>
                <w:rFonts w:ascii="Calibri" w:eastAsia="Times New Roman" w:hAnsi="Calibri" w:cs="Calibri"/>
              </w:rPr>
            </w:pPr>
            <w:r w:rsidRPr="005905FA">
              <w:t>2 707</w:t>
            </w:r>
          </w:p>
        </w:tc>
        <w:tc>
          <w:tcPr>
            <w:tcW w:w="2380" w:type="dxa"/>
            <w:tcBorders>
              <w:top w:val="nil"/>
              <w:left w:val="nil"/>
              <w:bottom w:val="nil"/>
              <w:right w:val="nil"/>
            </w:tcBorders>
            <w:shd w:val="clear" w:color="auto" w:fill="auto"/>
            <w:noWrap/>
            <w:hideMark/>
          </w:tcPr>
          <w:p w14:paraId="37F03E6F" w14:textId="7081647A" w:rsidR="00FD6C1D" w:rsidRPr="009C6D5F" w:rsidRDefault="00FD6C1D" w:rsidP="00FD6C1D">
            <w:pPr>
              <w:spacing w:after="0" w:line="240" w:lineRule="auto"/>
              <w:jc w:val="right"/>
              <w:rPr>
                <w:rFonts w:ascii="Calibri" w:eastAsia="Times New Roman" w:hAnsi="Calibri" w:cs="Calibri"/>
              </w:rPr>
            </w:pPr>
            <w:r w:rsidRPr="00B076D9">
              <w:t>3</w:t>
            </w:r>
          </w:p>
        </w:tc>
      </w:tr>
      <w:tr w:rsidR="00FD6C1D" w:rsidRPr="009C6D5F" w14:paraId="6234CB22"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5D47DD14" w14:textId="0FEFCBCC"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Doprava a infraštruktúra</w:t>
            </w:r>
          </w:p>
        </w:tc>
        <w:tc>
          <w:tcPr>
            <w:tcW w:w="2380" w:type="dxa"/>
            <w:tcBorders>
              <w:top w:val="nil"/>
              <w:left w:val="nil"/>
              <w:bottom w:val="nil"/>
              <w:right w:val="nil"/>
            </w:tcBorders>
            <w:shd w:val="clear" w:color="auto" w:fill="auto"/>
            <w:noWrap/>
            <w:hideMark/>
          </w:tcPr>
          <w:p w14:paraId="28F93C1B" w14:textId="40A95525" w:rsidR="00FD6C1D" w:rsidRPr="009C6D5F" w:rsidRDefault="00FD6C1D" w:rsidP="00FD6C1D">
            <w:pPr>
              <w:spacing w:after="0" w:line="240" w:lineRule="auto"/>
              <w:jc w:val="right"/>
              <w:rPr>
                <w:rFonts w:ascii="Calibri" w:eastAsia="Times New Roman" w:hAnsi="Calibri" w:cs="Calibri"/>
              </w:rPr>
            </w:pPr>
            <w:r w:rsidRPr="005905FA">
              <w:t>562</w:t>
            </w:r>
          </w:p>
        </w:tc>
        <w:tc>
          <w:tcPr>
            <w:tcW w:w="2380" w:type="dxa"/>
            <w:tcBorders>
              <w:top w:val="nil"/>
              <w:left w:val="nil"/>
              <w:bottom w:val="nil"/>
              <w:right w:val="nil"/>
            </w:tcBorders>
            <w:shd w:val="clear" w:color="auto" w:fill="auto"/>
            <w:noWrap/>
            <w:hideMark/>
          </w:tcPr>
          <w:p w14:paraId="7C83AA9A" w14:textId="1220D7DC" w:rsidR="00FD6C1D" w:rsidRPr="009C6D5F" w:rsidRDefault="00FD6C1D" w:rsidP="00FD6C1D">
            <w:pPr>
              <w:spacing w:after="0" w:line="240" w:lineRule="auto"/>
              <w:jc w:val="right"/>
              <w:rPr>
                <w:rFonts w:ascii="Calibri" w:eastAsia="Times New Roman" w:hAnsi="Calibri" w:cs="Calibri"/>
              </w:rPr>
            </w:pPr>
            <w:r w:rsidRPr="00B076D9">
              <w:t>244</w:t>
            </w:r>
          </w:p>
        </w:tc>
      </w:tr>
      <w:tr w:rsidR="00FD6C1D" w:rsidRPr="009C6D5F" w14:paraId="2904C27B"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1E61B47D"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2555F0C9" w14:textId="5D905FD0" w:rsidR="00FD6C1D" w:rsidRPr="009C6D5F" w:rsidRDefault="00FD6C1D" w:rsidP="00FD6C1D">
            <w:pPr>
              <w:spacing w:after="0" w:line="240" w:lineRule="auto"/>
              <w:jc w:val="right"/>
              <w:rPr>
                <w:rFonts w:ascii="Calibri" w:eastAsia="Times New Roman" w:hAnsi="Calibri" w:cs="Calibri"/>
              </w:rPr>
            </w:pPr>
            <w:r w:rsidRPr="005905FA">
              <w:t>279</w:t>
            </w:r>
          </w:p>
        </w:tc>
        <w:tc>
          <w:tcPr>
            <w:tcW w:w="2380" w:type="dxa"/>
            <w:tcBorders>
              <w:top w:val="nil"/>
              <w:left w:val="nil"/>
              <w:bottom w:val="nil"/>
              <w:right w:val="nil"/>
            </w:tcBorders>
            <w:shd w:val="clear" w:color="auto" w:fill="auto"/>
            <w:noWrap/>
            <w:hideMark/>
          </w:tcPr>
          <w:p w14:paraId="6D030C89" w14:textId="29843B98" w:rsidR="00FD6C1D" w:rsidRPr="009C6D5F" w:rsidRDefault="00FD6C1D" w:rsidP="00FD6C1D">
            <w:pPr>
              <w:spacing w:after="0" w:line="240" w:lineRule="auto"/>
              <w:jc w:val="right"/>
              <w:rPr>
                <w:rFonts w:ascii="Calibri" w:eastAsia="Times New Roman" w:hAnsi="Calibri" w:cs="Calibri"/>
              </w:rPr>
            </w:pPr>
            <w:r w:rsidRPr="00B076D9">
              <w:t>181</w:t>
            </w:r>
          </w:p>
        </w:tc>
      </w:tr>
      <w:tr w:rsidR="00FD6C1D" w:rsidRPr="009C6D5F" w14:paraId="55D38E0A"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36A5B2F0"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Spracovanie dreva a výroba papiera</w:t>
            </w:r>
          </w:p>
        </w:tc>
        <w:tc>
          <w:tcPr>
            <w:tcW w:w="2380" w:type="dxa"/>
            <w:tcBorders>
              <w:top w:val="nil"/>
              <w:left w:val="nil"/>
              <w:bottom w:val="nil"/>
              <w:right w:val="nil"/>
            </w:tcBorders>
            <w:shd w:val="clear" w:color="auto" w:fill="auto"/>
            <w:noWrap/>
            <w:hideMark/>
          </w:tcPr>
          <w:p w14:paraId="0DCE7B41" w14:textId="71C59889" w:rsidR="00FD6C1D" w:rsidRPr="009C6D5F" w:rsidRDefault="00FD6C1D" w:rsidP="00FD6C1D">
            <w:pPr>
              <w:spacing w:after="0" w:line="240" w:lineRule="auto"/>
              <w:jc w:val="right"/>
              <w:rPr>
                <w:rFonts w:ascii="Calibri" w:eastAsia="Times New Roman" w:hAnsi="Calibri" w:cs="Calibri"/>
              </w:rPr>
            </w:pPr>
            <w:r w:rsidRPr="005905FA">
              <w:t>1 006</w:t>
            </w:r>
          </w:p>
        </w:tc>
        <w:tc>
          <w:tcPr>
            <w:tcW w:w="2380" w:type="dxa"/>
            <w:tcBorders>
              <w:top w:val="nil"/>
              <w:left w:val="nil"/>
              <w:bottom w:val="nil"/>
              <w:right w:val="nil"/>
            </w:tcBorders>
            <w:shd w:val="clear" w:color="auto" w:fill="auto"/>
            <w:noWrap/>
            <w:hideMark/>
          </w:tcPr>
          <w:p w14:paraId="455B2CD4" w14:textId="7B65225B" w:rsidR="00FD6C1D" w:rsidRPr="009C6D5F" w:rsidRDefault="00FD6C1D" w:rsidP="00FD6C1D">
            <w:pPr>
              <w:spacing w:after="0" w:line="240" w:lineRule="auto"/>
              <w:jc w:val="right"/>
              <w:rPr>
                <w:rFonts w:ascii="Calibri" w:eastAsia="Times New Roman" w:hAnsi="Calibri" w:cs="Calibri"/>
              </w:rPr>
            </w:pPr>
            <w:r w:rsidRPr="00B076D9">
              <w:t>1 006</w:t>
            </w:r>
          </w:p>
        </w:tc>
      </w:tr>
      <w:tr w:rsidR="00FD6C1D" w:rsidRPr="009C6D5F" w14:paraId="38D3FC65"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2FFD0B59"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19A91686" w14:textId="096577A5" w:rsidR="00FD6C1D" w:rsidRPr="009C6D5F" w:rsidRDefault="00FD6C1D" w:rsidP="00FD6C1D">
            <w:pPr>
              <w:spacing w:after="0" w:line="240" w:lineRule="auto"/>
              <w:jc w:val="right"/>
              <w:rPr>
                <w:rFonts w:ascii="Calibri" w:eastAsia="Times New Roman" w:hAnsi="Calibri" w:cs="Calibri"/>
              </w:rPr>
            </w:pPr>
            <w:r w:rsidRPr="005905FA">
              <w:t>540</w:t>
            </w:r>
          </w:p>
        </w:tc>
        <w:tc>
          <w:tcPr>
            <w:tcW w:w="2380" w:type="dxa"/>
            <w:tcBorders>
              <w:top w:val="nil"/>
              <w:left w:val="nil"/>
              <w:bottom w:val="nil"/>
              <w:right w:val="nil"/>
            </w:tcBorders>
            <w:shd w:val="clear" w:color="auto" w:fill="auto"/>
            <w:noWrap/>
            <w:hideMark/>
          </w:tcPr>
          <w:p w14:paraId="06D1C735" w14:textId="5024BFC8" w:rsidR="00FD6C1D" w:rsidRPr="009C6D5F" w:rsidRDefault="00FD6C1D" w:rsidP="00FD6C1D">
            <w:pPr>
              <w:spacing w:after="0" w:line="240" w:lineRule="auto"/>
              <w:jc w:val="right"/>
              <w:rPr>
                <w:rFonts w:ascii="Calibri" w:eastAsia="Times New Roman" w:hAnsi="Calibri" w:cs="Calibri"/>
              </w:rPr>
            </w:pPr>
            <w:r w:rsidRPr="00B076D9">
              <w:t>540</w:t>
            </w:r>
          </w:p>
        </w:tc>
      </w:tr>
      <w:tr w:rsidR="00FD6C1D" w:rsidRPr="009C6D5F" w14:paraId="07DD70BB"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378674C0"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Stavebný priemysel</w:t>
            </w:r>
          </w:p>
        </w:tc>
        <w:tc>
          <w:tcPr>
            <w:tcW w:w="2380" w:type="dxa"/>
            <w:tcBorders>
              <w:top w:val="nil"/>
              <w:left w:val="nil"/>
              <w:bottom w:val="nil"/>
              <w:right w:val="nil"/>
            </w:tcBorders>
            <w:shd w:val="clear" w:color="auto" w:fill="auto"/>
            <w:noWrap/>
            <w:hideMark/>
          </w:tcPr>
          <w:p w14:paraId="3C39BD38" w14:textId="18C7BE47" w:rsidR="00FD6C1D" w:rsidRPr="009C6D5F" w:rsidRDefault="00FD6C1D" w:rsidP="00FD6C1D">
            <w:pPr>
              <w:spacing w:after="0" w:line="240" w:lineRule="auto"/>
              <w:jc w:val="right"/>
              <w:rPr>
                <w:rFonts w:ascii="Calibri" w:eastAsia="Times New Roman" w:hAnsi="Calibri" w:cs="Calibri"/>
              </w:rPr>
            </w:pPr>
            <w:r w:rsidRPr="005905FA">
              <w:t>3 163</w:t>
            </w:r>
          </w:p>
        </w:tc>
        <w:tc>
          <w:tcPr>
            <w:tcW w:w="2380" w:type="dxa"/>
            <w:tcBorders>
              <w:top w:val="nil"/>
              <w:left w:val="nil"/>
              <w:bottom w:val="nil"/>
              <w:right w:val="nil"/>
            </w:tcBorders>
            <w:shd w:val="clear" w:color="auto" w:fill="auto"/>
            <w:noWrap/>
            <w:hideMark/>
          </w:tcPr>
          <w:p w14:paraId="0E1CF486" w14:textId="65048BCE" w:rsidR="00FD6C1D" w:rsidRPr="009C6D5F" w:rsidRDefault="00FD6C1D" w:rsidP="00FD6C1D">
            <w:pPr>
              <w:spacing w:after="0" w:line="240" w:lineRule="auto"/>
              <w:jc w:val="right"/>
              <w:rPr>
                <w:rFonts w:ascii="Calibri" w:eastAsia="Times New Roman" w:hAnsi="Calibri" w:cs="Calibri"/>
              </w:rPr>
            </w:pPr>
            <w:r w:rsidRPr="00B076D9">
              <w:t>1 519</w:t>
            </w:r>
          </w:p>
        </w:tc>
      </w:tr>
      <w:tr w:rsidR="00FD6C1D" w:rsidRPr="009C6D5F" w14:paraId="0FF104DE"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553A6450"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3C273B9C" w14:textId="1A227462" w:rsidR="00FD6C1D" w:rsidRPr="009C6D5F" w:rsidRDefault="00FD6C1D" w:rsidP="00FD6C1D">
            <w:pPr>
              <w:spacing w:after="0" w:line="240" w:lineRule="auto"/>
              <w:jc w:val="right"/>
              <w:rPr>
                <w:rFonts w:ascii="Calibri" w:eastAsia="Times New Roman" w:hAnsi="Calibri" w:cs="Calibri"/>
              </w:rPr>
            </w:pPr>
            <w:r w:rsidRPr="005905FA">
              <w:t>1 926</w:t>
            </w:r>
          </w:p>
        </w:tc>
        <w:tc>
          <w:tcPr>
            <w:tcW w:w="2380" w:type="dxa"/>
            <w:tcBorders>
              <w:top w:val="nil"/>
              <w:left w:val="nil"/>
              <w:bottom w:val="nil"/>
              <w:right w:val="nil"/>
            </w:tcBorders>
            <w:shd w:val="clear" w:color="auto" w:fill="auto"/>
            <w:noWrap/>
            <w:hideMark/>
          </w:tcPr>
          <w:p w14:paraId="4826B4C0" w14:textId="5A90D69A" w:rsidR="00FD6C1D" w:rsidRPr="009C6D5F" w:rsidRDefault="00FD6C1D" w:rsidP="00FD6C1D">
            <w:pPr>
              <w:spacing w:after="0" w:line="240" w:lineRule="auto"/>
              <w:jc w:val="right"/>
              <w:rPr>
                <w:rFonts w:ascii="Calibri" w:eastAsia="Times New Roman" w:hAnsi="Calibri" w:cs="Calibri"/>
              </w:rPr>
            </w:pPr>
            <w:r w:rsidRPr="00B076D9">
              <w:t>1 158</w:t>
            </w:r>
          </w:p>
        </w:tc>
      </w:tr>
      <w:tr w:rsidR="00FD6C1D" w:rsidRPr="009C6D5F" w14:paraId="73984B3F" w14:textId="77777777" w:rsidTr="00A675BB">
        <w:trPr>
          <w:trHeight w:val="285"/>
        </w:trPr>
        <w:tc>
          <w:tcPr>
            <w:tcW w:w="4000" w:type="dxa"/>
            <w:gridSpan w:val="4"/>
            <w:tcBorders>
              <w:top w:val="nil"/>
              <w:left w:val="nil"/>
              <w:bottom w:val="nil"/>
              <w:right w:val="nil"/>
            </w:tcBorders>
            <w:shd w:val="clear" w:color="auto" w:fill="auto"/>
            <w:noWrap/>
            <w:vAlign w:val="center"/>
            <w:hideMark/>
          </w:tcPr>
          <w:p w14:paraId="2C546755"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Iné odvetvia</w:t>
            </w:r>
          </w:p>
        </w:tc>
        <w:tc>
          <w:tcPr>
            <w:tcW w:w="2380" w:type="dxa"/>
            <w:tcBorders>
              <w:top w:val="nil"/>
              <w:left w:val="nil"/>
              <w:bottom w:val="nil"/>
              <w:right w:val="nil"/>
            </w:tcBorders>
            <w:shd w:val="clear" w:color="auto" w:fill="auto"/>
            <w:noWrap/>
            <w:hideMark/>
          </w:tcPr>
          <w:p w14:paraId="3D0CE193" w14:textId="08DE13FB" w:rsidR="00FD6C1D" w:rsidRPr="009C6D5F" w:rsidRDefault="00FD6C1D" w:rsidP="00FD6C1D">
            <w:pPr>
              <w:spacing w:after="0" w:line="240" w:lineRule="auto"/>
              <w:jc w:val="right"/>
              <w:rPr>
                <w:rFonts w:ascii="Calibri" w:eastAsia="Times New Roman" w:hAnsi="Calibri" w:cs="Calibri"/>
              </w:rPr>
            </w:pPr>
            <w:r w:rsidRPr="005905FA">
              <w:t>29 407</w:t>
            </w:r>
          </w:p>
        </w:tc>
        <w:tc>
          <w:tcPr>
            <w:tcW w:w="2380" w:type="dxa"/>
            <w:tcBorders>
              <w:top w:val="nil"/>
              <w:left w:val="nil"/>
              <w:bottom w:val="nil"/>
              <w:right w:val="nil"/>
            </w:tcBorders>
            <w:shd w:val="clear" w:color="auto" w:fill="auto"/>
            <w:noWrap/>
            <w:hideMark/>
          </w:tcPr>
          <w:p w14:paraId="323698FF" w14:textId="000510BB" w:rsidR="00FD6C1D" w:rsidRPr="009C6D5F" w:rsidRDefault="00FD6C1D" w:rsidP="00FD6C1D">
            <w:pPr>
              <w:spacing w:after="0" w:line="240" w:lineRule="auto"/>
              <w:jc w:val="right"/>
              <w:rPr>
                <w:rFonts w:ascii="Calibri" w:eastAsia="Times New Roman" w:hAnsi="Calibri" w:cs="Calibri"/>
              </w:rPr>
            </w:pPr>
            <w:r w:rsidRPr="00B076D9">
              <w:t>7 404</w:t>
            </w:r>
          </w:p>
        </w:tc>
      </w:tr>
      <w:tr w:rsidR="00FD6C1D" w:rsidRPr="009C6D5F" w14:paraId="64961AFE" w14:textId="77777777" w:rsidTr="00A675BB">
        <w:trPr>
          <w:trHeight w:val="285"/>
        </w:trPr>
        <w:tc>
          <w:tcPr>
            <w:tcW w:w="4000" w:type="dxa"/>
            <w:gridSpan w:val="4"/>
            <w:tcBorders>
              <w:top w:val="nil"/>
              <w:left w:val="nil"/>
              <w:bottom w:val="single" w:sz="8" w:space="0" w:color="auto"/>
              <w:right w:val="nil"/>
            </w:tcBorders>
            <w:shd w:val="clear" w:color="auto" w:fill="auto"/>
            <w:noWrap/>
            <w:vAlign w:val="center"/>
            <w:hideMark/>
          </w:tcPr>
          <w:p w14:paraId="348B9D35" w14:textId="77777777" w:rsidR="00FD6C1D" w:rsidRPr="009C6D5F" w:rsidRDefault="00FD6C1D" w:rsidP="00FD6C1D">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single" w:sz="8" w:space="0" w:color="auto"/>
              <w:right w:val="nil"/>
            </w:tcBorders>
            <w:shd w:val="clear" w:color="auto" w:fill="auto"/>
            <w:noWrap/>
            <w:hideMark/>
          </w:tcPr>
          <w:p w14:paraId="6B1AD4B1" w14:textId="0A834DA6" w:rsidR="00FD6C1D" w:rsidRPr="009C6D5F" w:rsidRDefault="00FD6C1D" w:rsidP="00FD6C1D">
            <w:pPr>
              <w:spacing w:after="0" w:line="240" w:lineRule="auto"/>
              <w:jc w:val="right"/>
              <w:rPr>
                <w:rFonts w:ascii="Calibri" w:eastAsia="Times New Roman" w:hAnsi="Calibri" w:cs="Calibri"/>
              </w:rPr>
            </w:pPr>
            <w:r w:rsidRPr="005905FA">
              <w:t>12 550</w:t>
            </w:r>
          </w:p>
        </w:tc>
        <w:tc>
          <w:tcPr>
            <w:tcW w:w="2380" w:type="dxa"/>
            <w:tcBorders>
              <w:top w:val="nil"/>
              <w:left w:val="nil"/>
              <w:bottom w:val="single" w:sz="8" w:space="0" w:color="auto"/>
              <w:right w:val="nil"/>
            </w:tcBorders>
            <w:shd w:val="clear" w:color="auto" w:fill="auto"/>
            <w:noWrap/>
            <w:hideMark/>
          </w:tcPr>
          <w:p w14:paraId="7F5E6D5A" w14:textId="34472867" w:rsidR="00FD6C1D" w:rsidRPr="009C6D5F" w:rsidRDefault="00FD6C1D" w:rsidP="00FD6C1D">
            <w:pPr>
              <w:spacing w:after="0" w:line="240" w:lineRule="auto"/>
              <w:jc w:val="right"/>
              <w:rPr>
                <w:rFonts w:ascii="Calibri" w:eastAsia="Times New Roman" w:hAnsi="Calibri" w:cs="Calibri"/>
              </w:rPr>
            </w:pPr>
            <w:r w:rsidRPr="00B076D9">
              <w:t>5 906</w:t>
            </w:r>
          </w:p>
        </w:tc>
      </w:tr>
      <w:tr w:rsidR="00FD6C1D" w:rsidRPr="009C6D5F" w14:paraId="2776FE82" w14:textId="77777777" w:rsidTr="00A675BB">
        <w:trPr>
          <w:trHeight w:val="285"/>
        </w:trPr>
        <w:tc>
          <w:tcPr>
            <w:tcW w:w="4000" w:type="dxa"/>
            <w:gridSpan w:val="4"/>
            <w:tcBorders>
              <w:top w:val="single" w:sz="8" w:space="0" w:color="auto"/>
              <w:left w:val="nil"/>
              <w:bottom w:val="single" w:sz="8" w:space="0" w:color="auto"/>
              <w:right w:val="nil"/>
            </w:tcBorders>
            <w:shd w:val="clear" w:color="auto" w:fill="auto"/>
            <w:noWrap/>
            <w:vAlign w:val="center"/>
            <w:hideMark/>
          </w:tcPr>
          <w:p w14:paraId="6D966181" w14:textId="77777777" w:rsidR="00FD6C1D" w:rsidRPr="009C6D5F" w:rsidRDefault="00FD6C1D" w:rsidP="00FD6C1D">
            <w:pPr>
              <w:spacing w:after="0" w:line="240" w:lineRule="auto"/>
              <w:rPr>
                <w:rFonts w:ascii="Calibri" w:eastAsia="Times New Roman" w:hAnsi="Calibri" w:cs="Calibri"/>
                <w:b/>
                <w:bCs/>
              </w:rPr>
            </w:pPr>
            <w:r w:rsidRPr="009C6D5F">
              <w:rPr>
                <w:rFonts w:ascii="Calibri" w:eastAsia="Times New Roman" w:hAnsi="Calibri" w:cs="Calibri"/>
                <w:b/>
                <w:bCs/>
              </w:rPr>
              <w:t>Spolu pohľadávky</w:t>
            </w:r>
          </w:p>
        </w:tc>
        <w:tc>
          <w:tcPr>
            <w:tcW w:w="2380" w:type="dxa"/>
            <w:tcBorders>
              <w:top w:val="nil"/>
              <w:left w:val="nil"/>
              <w:bottom w:val="single" w:sz="8" w:space="0" w:color="auto"/>
              <w:right w:val="nil"/>
            </w:tcBorders>
            <w:shd w:val="clear" w:color="auto" w:fill="auto"/>
            <w:noWrap/>
            <w:hideMark/>
          </w:tcPr>
          <w:p w14:paraId="3D278CE5" w14:textId="14254F01" w:rsidR="00FD6C1D" w:rsidRPr="009C6D5F" w:rsidRDefault="00FD6C1D" w:rsidP="00FD6C1D">
            <w:pPr>
              <w:spacing w:after="0" w:line="240" w:lineRule="auto"/>
              <w:jc w:val="right"/>
              <w:rPr>
                <w:rFonts w:ascii="Calibri" w:eastAsia="Times New Roman" w:hAnsi="Calibri" w:cs="Calibri"/>
              </w:rPr>
            </w:pPr>
            <w:r w:rsidRPr="00867205">
              <w:t>132 265</w:t>
            </w:r>
          </w:p>
        </w:tc>
        <w:tc>
          <w:tcPr>
            <w:tcW w:w="2380" w:type="dxa"/>
            <w:tcBorders>
              <w:top w:val="nil"/>
              <w:left w:val="nil"/>
              <w:bottom w:val="single" w:sz="8" w:space="0" w:color="auto"/>
              <w:right w:val="nil"/>
            </w:tcBorders>
            <w:shd w:val="clear" w:color="auto" w:fill="auto"/>
            <w:noWrap/>
            <w:hideMark/>
          </w:tcPr>
          <w:p w14:paraId="315510EC" w14:textId="6EC69495" w:rsidR="00FD6C1D" w:rsidRPr="009C6D5F" w:rsidRDefault="00FD6C1D" w:rsidP="00FD6C1D">
            <w:pPr>
              <w:spacing w:after="0" w:line="240" w:lineRule="auto"/>
              <w:jc w:val="right"/>
              <w:rPr>
                <w:rFonts w:ascii="Calibri" w:eastAsia="Times New Roman" w:hAnsi="Calibri" w:cs="Calibri"/>
              </w:rPr>
            </w:pPr>
            <w:r w:rsidRPr="002815CB">
              <w:t>67 378</w:t>
            </w:r>
          </w:p>
        </w:tc>
      </w:tr>
      <w:tr w:rsidR="00FD6C1D" w:rsidRPr="004C3359" w14:paraId="1E67D710" w14:textId="77777777" w:rsidTr="00A675BB">
        <w:trPr>
          <w:trHeight w:val="285"/>
        </w:trPr>
        <w:tc>
          <w:tcPr>
            <w:tcW w:w="4000" w:type="dxa"/>
            <w:gridSpan w:val="4"/>
            <w:tcBorders>
              <w:top w:val="single" w:sz="8" w:space="0" w:color="auto"/>
              <w:left w:val="nil"/>
              <w:bottom w:val="single" w:sz="8" w:space="0" w:color="auto"/>
              <w:right w:val="nil"/>
            </w:tcBorders>
            <w:shd w:val="clear" w:color="auto" w:fill="auto"/>
            <w:noWrap/>
            <w:vAlign w:val="center"/>
            <w:hideMark/>
          </w:tcPr>
          <w:p w14:paraId="1B0E93BA" w14:textId="77777777" w:rsidR="00FD6C1D" w:rsidRPr="009C6D5F" w:rsidRDefault="00FD6C1D" w:rsidP="00FD6C1D">
            <w:pPr>
              <w:spacing w:after="0" w:line="240" w:lineRule="auto"/>
              <w:rPr>
                <w:rFonts w:ascii="Calibri" w:eastAsia="Times New Roman" w:hAnsi="Calibri" w:cs="Calibri"/>
                <w:b/>
                <w:bCs/>
              </w:rPr>
            </w:pPr>
            <w:r w:rsidRPr="009C6D5F">
              <w:rPr>
                <w:rFonts w:ascii="Calibri" w:eastAsia="Times New Roman" w:hAnsi="Calibri" w:cs="Calibri"/>
                <w:b/>
                <w:bCs/>
              </w:rPr>
              <w:t>Spolu opravné položky</w:t>
            </w:r>
          </w:p>
        </w:tc>
        <w:tc>
          <w:tcPr>
            <w:tcW w:w="2380" w:type="dxa"/>
            <w:tcBorders>
              <w:top w:val="nil"/>
              <w:left w:val="nil"/>
              <w:bottom w:val="single" w:sz="8" w:space="0" w:color="auto"/>
              <w:right w:val="nil"/>
            </w:tcBorders>
            <w:shd w:val="clear" w:color="auto" w:fill="auto"/>
            <w:noWrap/>
            <w:hideMark/>
          </w:tcPr>
          <w:p w14:paraId="1945F986" w14:textId="2478281B" w:rsidR="00FD6C1D" w:rsidRPr="009C6D5F" w:rsidRDefault="00FD6C1D" w:rsidP="00FD6C1D">
            <w:pPr>
              <w:spacing w:after="0" w:line="240" w:lineRule="auto"/>
              <w:jc w:val="right"/>
              <w:rPr>
                <w:rFonts w:ascii="Calibri" w:eastAsia="Times New Roman" w:hAnsi="Calibri" w:cs="Calibri"/>
              </w:rPr>
            </w:pPr>
            <w:r w:rsidRPr="00867205">
              <w:t>56 782</w:t>
            </w:r>
          </w:p>
        </w:tc>
        <w:tc>
          <w:tcPr>
            <w:tcW w:w="2380" w:type="dxa"/>
            <w:tcBorders>
              <w:top w:val="nil"/>
              <w:left w:val="nil"/>
              <w:bottom w:val="single" w:sz="8" w:space="0" w:color="auto"/>
              <w:right w:val="nil"/>
            </w:tcBorders>
            <w:shd w:val="clear" w:color="auto" w:fill="auto"/>
            <w:noWrap/>
            <w:hideMark/>
          </w:tcPr>
          <w:p w14:paraId="2C8250F0" w14:textId="3242987E" w:rsidR="00FD6C1D" w:rsidRPr="009C6D5F" w:rsidRDefault="00FD6C1D" w:rsidP="00FD6C1D">
            <w:pPr>
              <w:spacing w:after="0" w:line="240" w:lineRule="auto"/>
              <w:jc w:val="right"/>
              <w:rPr>
                <w:rFonts w:ascii="Calibri" w:eastAsia="Times New Roman" w:hAnsi="Calibri" w:cs="Calibri"/>
              </w:rPr>
            </w:pPr>
            <w:r w:rsidRPr="002815CB">
              <w:t>38 918</w:t>
            </w:r>
          </w:p>
        </w:tc>
      </w:tr>
    </w:tbl>
    <w:p w14:paraId="203884C8" w14:textId="77777777" w:rsidR="00250FCC" w:rsidRPr="004C3359" w:rsidRDefault="00250FCC" w:rsidP="00C60CC2">
      <w:pPr>
        <w:pStyle w:val="ListParagraph"/>
        <w:ind w:left="0" w:right="-426"/>
        <w:rPr>
          <w:rFonts w:ascii="Arial" w:hAnsi="Arial" w:cs="Arial"/>
          <w:sz w:val="20"/>
          <w:szCs w:val="20"/>
          <w:highlight w:val="magenta"/>
        </w:rPr>
      </w:pPr>
    </w:p>
    <w:p w14:paraId="5242AE5C" w14:textId="019AE57D" w:rsidR="005A77BD" w:rsidRPr="009C6D5F" w:rsidRDefault="00C60CC2" w:rsidP="00CB6699">
      <w:pPr>
        <w:ind w:left="993" w:hanging="285"/>
        <w:jc w:val="both"/>
        <w:rPr>
          <w:rFonts w:ascii="Arial" w:hAnsi="Arial" w:cs="Arial"/>
          <w:sz w:val="20"/>
          <w:szCs w:val="20"/>
        </w:rPr>
      </w:pPr>
      <w:r w:rsidRPr="009C6D5F">
        <w:rPr>
          <w:rFonts w:ascii="Arial" w:hAnsi="Arial" w:cs="Arial"/>
          <w:sz w:val="20"/>
          <w:szCs w:val="20"/>
        </w:rPr>
        <w:t xml:space="preserve">2. </w:t>
      </w:r>
      <w:r w:rsidRPr="009C6D5F">
        <w:rPr>
          <w:rFonts w:ascii="Arial" w:hAnsi="Arial" w:cs="Arial"/>
          <w:sz w:val="20"/>
          <w:szCs w:val="20"/>
        </w:rPr>
        <w:tab/>
        <w:t>Zmeny v úprave ocenenia špecifických a všeobecných úprav kreditného rizika za vykazované</w:t>
      </w:r>
      <w:r w:rsidR="005A77BD" w:rsidRPr="009C6D5F">
        <w:rPr>
          <w:rFonts w:ascii="Arial" w:hAnsi="Arial" w:cs="Arial"/>
          <w:sz w:val="20"/>
          <w:szCs w:val="20"/>
        </w:rPr>
        <w:t xml:space="preserve"> obdobie </w:t>
      </w:r>
    </w:p>
    <w:tbl>
      <w:tblPr>
        <w:tblW w:w="8800" w:type="dxa"/>
        <w:tblCellMar>
          <w:left w:w="70" w:type="dxa"/>
          <w:right w:w="70" w:type="dxa"/>
        </w:tblCellMar>
        <w:tblLook w:val="04A0" w:firstRow="1" w:lastRow="0" w:firstColumn="1" w:lastColumn="0" w:noHBand="0" w:noVBand="1"/>
      </w:tblPr>
      <w:tblGrid>
        <w:gridCol w:w="960"/>
        <w:gridCol w:w="960"/>
        <w:gridCol w:w="960"/>
        <w:gridCol w:w="960"/>
        <w:gridCol w:w="960"/>
        <w:gridCol w:w="1280"/>
        <w:gridCol w:w="1420"/>
        <w:gridCol w:w="1300"/>
      </w:tblGrid>
      <w:tr w:rsidR="00250FCC" w:rsidRPr="009C6D5F" w14:paraId="20E4EB15" w14:textId="77777777" w:rsidTr="00250FCC">
        <w:trPr>
          <w:trHeight w:val="255"/>
        </w:trPr>
        <w:tc>
          <w:tcPr>
            <w:tcW w:w="960" w:type="dxa"/>
            <w:tcBorders>
              <w:top w:val="nil"/>
              <w:left w:val="nil"/>
              <w:bottom w:val="nil"/>
              <w:right w:val="nil"/>
            </w:tcBorders>
            <w:shd w:val="clear" w:color="auto" w:fill="auto"/>
            <w:noWrap/>
            <w:vAlign w:val="bottom"/>
            <w:hideMark/>
          </w:tcPr>
          <w:p w14:paraId="165AE631" w14:textId="77777777" w:rsidR="00250FCC" w:rsidRPr="009C6D5F" w:rsidRDefault="00250FCC" w:rsidP="00250FCC">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83D9E4C"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EEA1CD"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C2074C"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9EAF93"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3C26064"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52F88277"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2B1FA88" w14:textId="77777777" w:rsidR="00250FCC" w:rsidRPr="009C6D5F" w:rsidRDefault="00250FCC" w:rsidP="00250FCC">
            <w:pPr>
              <w:spacing w:after="0" w:line="240" w:lineRule="auto"/>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75300D" w:rsidRPr="009C6D5F" w14:paraId="10CE4F12" w14:textId="77777777" w:rsidTr="00250FCC">
        <w:trPr>
          <w:trHeight w:val="255"/>
        </w:trPr>
        <w:tc>
          <w:tcPr>
            <w:tcW w:w="4800" w:type="dxa"/>
            <w:gridSpan w:val="5"/>
            <w:tcBorders>
              <w:top w:val="single" w:sz="4" w:space="0" w:color="auto"/>
              <w:left w:val="nil"/>
              <w:bottom w:val="single" w:sz="4" w:space="0" w:color="auto"/>
              <w:right w:val="nil"/>
            </w:tcBorders>
            <w:shd w:val="clear" w:color="auto" w:fill="auto"/>
            <w:noWrap/>
            <w:vAlign w:val="bottom"/>
            <w:hideMark/>
          </w:tcPr>
          <w:p w14:paraId="091B3689" w14:textId="497244D9" w:rsidR="0075300D" w:rsidRPr="009C6D5F" w:rsidRDefault="0042644B" w:rsidP="0042644B">
            <w:pPr>
              <w:spacing w:after="0" w:line="240" w:lineRule="auto"/>
              <w:rPr>
                <w:rFonts w:ascii="Arial" w:eastAsia="Times New Roman" w:hAnsi="Arial" w:cs="Arial"/>
                <w:b/>
                <w:bCs/>
                <w:sz w:val="20"/>
                <w:szCs w:val="20"/>
              </w:rPr>
            </w:pPr>
            <w:r>
              <w:rPr>
                <w:rFonts w:ascii="Arial" w:eastAsia="Times New Roman" w:hAnsi="Arial" w:cs="Arial"/>
                <w:b/>
                <w:bCs/>
                <w:sz w:val="20"/>
                <w:szCs w:val="20"/>
              </w:rPr>
              <w:t>Zmeny v úprave ocenenia za 1</w:t>
            </w:r>
            <w:r w:rsidR="0075300D" w:rsidRPr="009C6D5F">
              <w:rPr>
                <w:rFonts w:ascii="Arial" w:eastAsia="Times New Roman" w:hAnsi="Arial" w:cs="Arial"/>
                <w:b/>
                <w:bCs/>
                <w:sz w:val="20"/>
                <w:szCs w:val="20"/>
              </w:rPr>
              <w:t>. štvrť</w:t>
            </w:r>
            <w:r>
              <w:rPr>
                <w:rFonts w:ascii="Arial" w:eastAsia="Times New Roman" w:hAnsi="Arial" w:cs="Arial"/>
                <w:b/>
                <w:bCs/>
                <w:sz w:val="20"/>
                <w:szCs w:val="20"/>
              </w:rPr>
              <w:t>rok</w:t>
            </w:r>
            <w:r w:rsidR="0075300D" w:rsidRPr="009C6D5F">
              <w:rPr>
                <w:rFonts w:ascii="Arial" w:eastAsia="Times New Roman" w:hAnsi="Arial" w:cs="Arial"/>
                <w:b/>
                <w:bCs/>
                <w:sz w:val="20"/>
                <w:szCs w:val="20"/>
              </w:rPr>
              <w:t xml:space="preserve"> 20</w:t>
            </w:r>
            <w:r w:rsidR="00115939" w:rsidRPr="009C6D5F">
              <w:rPr>
                <w:rFonts w:ascii="Arial" w:eastAsia="Times New Roman" w:hAnsi="Arial" w:cs="Arial"/>
                <w:b/>
                <w:bCs/>
                <w:sz w:val="20"/>
                <w:szCs w:val="20"/>
              </w:rPr>
              <w:t>2</w:t>
            </w:r>
            <w:r>
              <w:rPr>
                <w:rFonts w:ascii="Arial" w:eastAsia="Times New Roman" w:hAnsi="Arial" w:cs="Arial"/>
                <w:b/>
                <w:bCs/>
                <w:sz w:val="20"/>
                <w:szCs w:val="20"/>
              </w:rPr>
              <w:t>1</w:t>
            </w:r>
          </w:p>
        </w:tc>
        <w:tc>
          <w:tcPr>
            <w:tcW w:w="1280" w:type="dxa"/>
            <w:tcBorders>
              <w:top w:val="single" w:sz="4" w:space="0" w:color="auto"/>
              <w:left w:val="nil"/>
              <w:bottom w:val="single" w:sz="4" w:space="0" w:color="auto"/>
              <w:right w:val="nil"/>
            </w:tcBorders>
            <w:shd w:val="clear" w:color="auto" w:fill="auto"/>
            <w:noWrap/>
            <w:vAlign w:val="bottom"/>
            <w:hideMark/>
          </w:tcPr>
          <w:p w14:paraId="7407D832" w14:textId="7793B95F" w:rsidR="0075300D" w:rsidRPr="009C6D5F" w:rsidRDefault="005B5A40" w:rsidP="007F4D81">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31</w:t>
            </w:r>
            <w:r w:rsidR="00115939" w:rsidRPr="009C6D5F">
              <w:rPr>
                <w:rFonts w:ascii="Arial" w:eastAsia="Times New Roman" w:hAnsi="Arial" w:cs="Arial"/>
                <w:b/>
                <w:bCs/>
                <w:sz w:val="20"/>
                <w:szCs w:val="20"/>
              </w:rPr>
              <w:t>.</w:t>
            </w:r>
            <w:r>
              <w:rPr>
                <w:rFonts w:ascii="Arial" w:eastAsia="Times New Roman" w:hAnsi="Arial" w:cs="Arial"/>
                <w:b/>
                <w:bCs/>
                <w:sz w:val="20"/>
                <w:szCs w:val="20"/>
              </w:rPr>
              <w:t>12</w:t>
            </w:r>
            <w:r w:rsidR="00115939" w:rsidRPr="009C6D5F">
              <w:rPr>
                <w:rFonts w:ascii="Arial" w:eastAsia="Times New Roman" w:hAnsi="Arial" w:cs="Arial"/>
                <w:b/>
                <w:bCs/>
                <w:sz w:val="20"/>
                <w:szCs w:val="20"/>
              </w:rPr>
              <w:t>.20</w:t>
            </w:r>
            <w:r w:rsidR="007F4D81" w:rsidRPr="009C6D5F">
              <w:rPr>
                <w:rFonts w:ascii="Arial" w:eastAsia="Times New Roman" w:hAnsi="Arial" w:cs="Arial"/>
                <w:b/>
                <w:bCs/>
                <w:sz w:val="20"/>
                <w:szCs w:val="20"/>
              </w:rPr>
              <w:t>20</w:t>
            </w:r>
          </w:p>
        </w:tc>
        <w:tc>
          <w:tcPr>
            <w:tcW w:w="1420" w:type="dxa"/>
            <w:tcBorders>
              <w:top w:val="single" w:sz="4" w:space="0" w:color="auto"/>
              <w:left w:val="nil"/>
              <w:bottom w:val="single" w:sz="4" w:space="0" w:color="auto"/>
              <w:right w:val="nil"/>
            </w:tcBorders>
            <w:shd w:val="clear" w:color="auto" w:fill="auto"/>
            <w:noWrap/>
            <w:vAlign w:val="bottom"/>
            <w:hideMark/>
          </w:tcPr>
          <w:p w14:paraId="6BFDD95E" w14:textId="46F621B9" w:rsidR="0075300D" w:rsidRPr="009C6D5F" w:rsidRDefault="005B5A40" w:rsidP="007F4D81">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31.03.2021</w:t>
            </w:r>
          </w:p>
        </w:tc>
        <w:tc>
          <w:tcPr>
            <w:tcW w:w="1300" w:type="dxa"/>
            <w:tcBorders>
              <w:top w:val="single" w:sz="4" w:space="0" w:color="auto"/>
              <w:left w:val="nil"/>
              <w:bottom w:val="single" w:sz="4" w:space="0" w:color="auto"/>
              <w:right w:val="nil"/>
            </w:tcBorders>
            <w:shd w:val="clear" w:color="auto" w:fill="auto"/>
            <w:noWrap/>
            <w:vAlign w:val="bottom"/>
            <w:hideMark/>
          </w:tcPr>
          <w:p w14:paraId="0488D7E0" w14:textId="04AD7934" w:rsidR="0075300D" w:rsidRPr="009C6D5F" w:rsidRDefault="0075300D" w:rsidP="0075300D">
            <w:pPr>
              <w:spacing w:after="0" w:line="240" w:lineRule="auto"/>
              <w:rPr>
                <w:rFonts w:ascii="Arial" w:eastAsia="Times New Roman" w:hAnsi="Arial" w:cs="Arial"/>
                <w:b/>
                <w:bCs/>
                <w:sz w:val="20"/>
                <w:szCs w:val="20"/>
              </w:rPr>
            </w:pPr>
            <w:r w:rsidRPr="009C6D5F">
              <w:rPr>
                <w:rFonts w:ascii="Arial" w:eastAsia="Times New Roman" w:hAnsi="Arial" w:cs="Arial"/>
                <w:b/>
                <w:bCs/>
                <w:sz w:val="20"/>
                <w:szCs w:val="20"/>
              </w:rPr>
              <w:t xml:space="preserve">                +/-</w:t>
            </w:r>
          </w:p>
        </w:tc>
      </w:tr>
      <w:tr w:rsidR="00FD6C1D" w:rsidRPr="009C6D5F" w14:paraId="21803EC9"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55BC1CD6" w14:textId="7777777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Výroba elektrickej energie</w:t>
            </w:r>
          </w:p>
        </w:tc>
        <w:tc>
          <w:tcPr>
            <w:tcW w:w="1280" w:type="dxa"/>
            <w:tcBorders>
              <w:top w:val="nil"/>
              <w:left w:val="nil"/>
              <w:bottom w:val="nil"/>
              <w:right w:val="nil"/>
            </w:tcBorders>
            <w:shd w:val="clear" w:color="auto" w:fill="auto"/>
            <w:noWrap/>
            <w:hideMark/>
          </w:tcPr>
          <w:p w14:paraId="2CAB1988" w14:textId="4544B009" w:rsidR="00FD6C1D" w:rsidRPr="009C6D5F" w:rsidRDefault="00FD6C1D" w:rsidP="00FD6C1D">
            <w:pPr>
              <w:spacing w:after="0" w:line="240" w:lineRule="auto"/>
              <w:jc w:val="right"/>
              <w:rPr>
                <w:rFonts w:ascii="Arial" w:eastAsia="Times New Roman" w:hAnsi="Arial" w:cs="Arial"/>
                <w:sz w:val="20"/>
                <w:szCs w:val="20"/>
              </w:rPr>
            </w:pPr>
            <w:r w:rsidRPr="0078255B">
              <w:t>2 432</w:t>
            </w:r>
          </w:p>
        </w:tc>
        <w:tc>
          <w:tcPr>
            <w:tcW w:w="1420" w:type="dxa"/>
            <w:tcBorders>
              <w:top w:val="nil"/>
              <w:left w:val="nil"/>
              <w:bottom w:val="nil"/>
              <w:right w:val="nil"/>
            </w:tcBorders>
            <w:shd w:val="clear" w:color="auto" w:fill="auto"/>
            <w:noWrap/>
            <w:hideMark/>
          </w:tcPr>
          <w:p w14:paraId="3AFF3D70" w14:textId="718D5327" w:rsidR="00FD6C1D" w:rsidRPr="009C6D5F" w:rsidRDefault="00FD6C1D" w:rsidP="00FD6C1D">
            <w:pPr>
              <w:spacing w:after="0" w:line="240" w:lineRule="auto"/>
              <w:jc w:val="right"/>
              <w:rPr>
                <w:rFonts w:ascii="Arial" w:eastAsia="Times New Roman" w:hAnsi="Arial" w:cs="Arial"/>
                <w:sz w:val="20"/>
                <w:szCs w:val="20"/>
              </w:rPr>
            </w:pPr>
            <w:r w:rsidRPr="0078255B">
              <w:t>2 903</w:t>
            </w:r>
          </w:p>
        </w:tc>
        <w:tc>
          <w:tcPr>
            <w:tcW w:w="1300" w:type="dxa"/>
            <w:tcBorders>
              <w:top w:val="nil"/>
              <w:left w:val="nil"/>
              <w:bottom w:val="nil"/>
              <w:right w:val="nil"/>
            </w:tcBorders>
            <w:shd w:val="clear" w:color="auto" w:fill="auto"/>
            <w:noWrap/>
            <w:hideMark/>
          </w:tcPr>
          <w:p w14:paraId="6CE4D304" w14:textId="2954A4D8" w:rsidR="00FD6C1D" w:rsidRPr="009C6D5F" w:rsidRDefault="00FD6C1D" w:rsidP="00FD6C1D">
            <w:pPr>
              <w:spacing w:after="0" w:line="240" w:lineRule="auto"/>
              <w:jc w:val="right"/>
              <w:rPr>
                <w:rFonts w:ascii="Arial" w:eastAsia="Times New Roman" w:hAnsi="Arial" w:cs="Arial"/>
                <w:sz w:val="20"/>
                <w:szCs w:val="20"/>
              </w:rPr>
            </w:pPr>
            <w:r w:rsidRPr="0078255B">
              <w:t>471</w:t>
            </w:r>
          </w:p>
        </w:tc>
      </w:tr>
      <w:tr w:rsidR="00FD6C1D" w:rsidRPr="009C6D5F" w14:paraId="2608569D"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4FF56216" w14:textId="7777777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Domácnosti</w:t>
            </w:r>
          </w:p>
        </w:tc>
        <w:tc>
          <w:tcPr>
            <w:tcW w:w="1280" w:type="dxa"/>
            <w:tcBorders>
              <w:top w:val="nil"/>
              <w:left w:val="nil"/>
              <w:bottom w:val="nil"/>
              <w:right w:val="nil"/>
            </w:tcBorders>
            <w:shd w:val="clear" w:color="auto" w:fill="auto"/>
            <w:noWrap/>
            <w:hideMark/>
          </w:tcPr>
          <w:p w14:paraId="13C0C142" w14:textId="7C8CEDCF" w:rsidR="00FD6C1D" w:rsidRPr="009C6D5F" w:rsidRDefault="00FD6C1D" w:rsidP="00FD6C1D">
            <w:pPr>
              <w:spacing w:after="0" w:line="240" w:lineRule="auto"/>
              <w:jc w:val="right"/>
              <w:rPr>
                <w:rFonts w:ascii="Arial" w:eastAsia="Times New Roman" w:hAnsi="Arial" w:cs="Arial"/>
                <w:sz w:val="20"/>
                <w:szCs w:val="20"/>
              </w:rPr>
            </w:pPr>
            <w:r w:rsidRPr="0078255B">
              <w:t>23 594</w:t>
            </w:r>
          </w:p>
        </w:tc>
        <w:tc>
          <w:tcPr>
            <w:tcW w:w="1420" w:type="dxa"/>
            <w:tcBorders>
              <w:top w:val="nil"/>
              <w:left w:val="nil"/>
              <w:bottom w:val="nil"/>
              <w:right w:val="nil"/>
            </w:tcBorders>
            <w:shd w:val="clear" w:color="auto" w:fill="auto"/>
            <w:noWrap/>
            <w:hideMark/>
          </w:tcPr>
          <w:p w14:paraId="64C2BD97" w14:textId="2A7D1258" w:rsidR="00FD6C1D" w:rsidRPr="009C6D5F" w:rsidRDefault="00FD6C1D" w:rsidP="00FD6C1D">
            <w:pPr>
              <w:spacing w:after="0" w:line="240" w:lineRule="auto"/>
              <w:jc w:val="right"/>
              <w:rPr>
                <w:rFonts w:ascii="Arial" w:eastAsia="Times New Roman" w:hAnsi="Arial" w:cs="Arial"/>
                <w:sz w:val="20"/>
                <w:szCs w:val="20"/>
              </w:rPr>
            </w:pPr>
            <w:r w:rsidRPr="0078255B">
              <w:t>24 716</w:t>
            </w:r>
          </w:p>
        </w:tc>
        <w:tc>
          <w:tcPr>
            <w:tcW w:w="1300" w:type="dxa"/>
            <w:tcBorders>
              <w:top w:val="nil"/>
              <w:left w:val="nil"/>
              <w:bottom w:val="nil"/>
              <w:right w:val="nil"/>
            </w:tcBorders>
            <w:shd w:val="clear" w:color="auto" w:fill="auto"/>
            <w:noWrap/>
            <w:hideMark/>
          </w:tcPr>
          <w:p w14:paraId="1DF0480A" w14:textId="6DA009F8" w:rsidR="00FD6C1D" w:rsidRPr="009C6D5F" w:rsidRDefault="00FD6C1D" w:rsidP="00FD6C1D">
            <w:pPr>
              <w:spacing w:after="0" w:line="240" w:lineRule="auto"/>
              <w:jc w:val="right"/>
              <w:rPr>
                <w:rFonts w:ascii="Arial" w:eastAsia="Times New Roman" w:hAnsi="Arial" w:cs="Arial"/>
                <w:sz w:val="20"/>
                <w:szCs w:val="20"/>
              </w:rPr>
            </w:pPr>
            <w:r w:rsidRPr="0078255B">
              <w:t>1 122</w:t>
            </w:r>
          </w:p>
        </w:tc>
      </w:tr>
      <w:tr w:rsidR="00FD6C1D" w:rsidRPr="009C6D5F" w14:paraId="47112F8A"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28EF9A9B" w14:textId="7777777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Poľnohospodárstvo a potravinársky priemysel</w:t>
            </w:r>
          </w:p>
        </w:tc>
        <w:tc>
          <w:tcPr>
            <w:tcW w:w="1280" w:type="dxa"/>
            <w:tcBorders>
              <w:top w:val="nil"/>
              <w:left w:val="nil"/>
              <w:bottom w:val="nil"/>
              <w:right w:val="nil"/>
            </w:tcBorders>
            <w:shd w:val="clear" w:color="auto" w:fill="auto"/>
            <w:noWrap/>
            <w:hideMark/>
          </w:tcPr>
          <w:p w14:paraId="0B0AF06C" w14:textId="5CA90180" w:rsidR="00FD6C1D" w:rsidRPr="009C6D5F" w:rsidRDefault="00FD6C1D" w:rsidP="00FD6C1D">
            <w:pPr>
              <w:spacing w:after="0" w:line="240" w:lineRule="auto"/>
              <w:jc w:val="right"/>
              <w:rPr>
                <w:rFonts w:ascii="Arial" w:eastAsia="Times New Roman" w:hAnsi="Arial" w:cs="Arial"/>
                <w:sz w:val="20"/>
                <w:szCs w:val="20"/>
              </w:rPr>
            </w:pPr>
            <w:r w:rsidRPr="0078255B">
              <w:t>4 094</w:t>
            </w:r>
          </w:p>
        </w:tc>
        <w:tc>
          <w:tcPr>
            <w:tcW w:w="1420" w:type="dxa"/>
            <w:tcBorders>
              <w:top w:val="nil"/>
              <w:left w:val="nil"/>
              <w:bottom w:val="nil"/>
              <w:right w:val="nil"/>
            </w:tcBorders>
            <w:shd w:val="clear" w:color="auto" w:fill="auto"/>
            <w:noWrap/>
            <w:hideMark/>
          </w:tcPr>
          <w:p w14:paraId="3DB616FB" w14:textId="7BFCB08B" w:rsidR="00FD6C1D" w:rsidRPr="009C6D5F" w:rsidRDefault="00FD6C1D" w:rsidP="00FD6C1D">
            <w:pPr>
              <w:spacing w:after="0" w:line="240" w:lineRule="auto"/>
              <w:jc w:val="right"/>
              <w:rPr>
                <w:rFonts w:ascii="Arial" w:eastAsia="Times New Roman" w:hAnsi="Arial" w:cs="Arial"/>
                <w:sz w:val="20"/>
                <w:szCs w:val="20"/>
              </w:rPr>
            </w:pPr>
            <w:r w:rsidRPr="0078255B">
              <w:t>3 816</w:t>
            </w:r>
          </w:p>
        </w:tc>
        <w:tc>
          <w:tcPr>
            <w:tcW w:w="1300" w:type="dxa"/>
            <w:tcBorders>
              <w:top w:val="nil"/>
              <w:left w:val="nil"/>
              <w:bottom w:val="nil"/>
              <w:right w:val="nil"/>
            </w:tcBorders>
            <w:shd w:val="clear" w:color="auto" w:fill="auto"/>
            <w:noWrap/>
            <w:hideMark/>
          </w:tcPr>
          <w:p w14:paraId="0D9C7A6C" w14:textId="3090D79C" w:rsidR="00FD6C1D" w:rsidRPr="009C6D5F" w:rsidRDefault="00FD6C1D" w:rsidP="00FD6C1D">
            <w:pPr>
              <w:spacing w:after="0" w:line="240" w:lineRule="auto"/>
              <w:jc w:val="right"/>
              <w:rPr>
                <w:rFonts w:ascii="Arial" w:eastAsia="Times New Roman" w:hAnsi="Arial" w:cs="Arial"/>
                <w:sz w:val="20"/>
                <w:szCs w:val="20"/>
              </w:rPr>
            </w:pPr>
            <w:r w:rsidRPr="0078255B">
              <w:t>-278</w:t>
            </w:r>
          </w:p>
        </w:tc>
      </w:tr>
      <w:tr w:rsidR="00FD6C1D" w:rsidRPr="009C6D5F" w14:paraId="512640D3"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7959A4B6" w14:textId="0871B274"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Obchod a služby</w:t>
            </w:r>
          </w:p>
        </w:tc>
        <w:tc>
          <w:tcPr>
            <w:tcW w:w="1280" w:type="dxa"/>
            <w:tcBorders>
              <w:top w:val="nil"/>
              <w:left w:val="nil"/>
              <w:bottom w:val="nil"/>
              <w:right w:val="nil"/>
            </w:tcBorders>
            <w:shd w:val="clear" w:color="auto" w:fill="auto"/>
            <w:noWrap/>
            <w:hideMark/>
          </w:tcPr>
          <w:p w14:paraId="7F10C350" w14:textId="4F680AA2" w:rsidR="00FD6C1D" w:rsidRPr="009C6D5F" w:rsidRDefault="00FD6C1D" w:rsidP="00FD6C1D">
            <w:pPr>
              <w:spacing w:after="0" w:line="240" w:lineRule="auto"/>
              <w:jc w:val="right"/>
              <w:rPr>
                <w:rFonts w:ascii="Arial" w:eastAsia="Times New Roman" w:hAnsi="Arial" w:cs="Arial"/>
                <w:sz w:val="20"/>
                <w:szCs w:val="20"/>
              </w:rPr>
            </w:pPr>
            <w:r w:rsidRPr="0078255B">
              <w:t>5 471</w:t>
            </w:r>
          </w:p>
        </w:tc>
        <w:tc>
          <w:tcPr>
            <w:tcW w:w="1420" w:type="dxa"/>
            <w:tcBorders>
              <w:top w:val="nil"/>
              <w:left w:val="nil"/>
              <w:bottom w:val="nil"/>
              <w:right w:val="nil"/>
            </w:tcBorders>
            <w:shd w:val="clear" w:color="auto" w:fill="auto"/>
            <w:noWrap/>
            <w:hideMark/>
          </w:tcPr>
          <w:p w14:paraId="4121D52A" w14:textId="1BC00C15" w:rsidR="00FD6C1D" w:rsidRPr="009C6D5F" w:rsidRDefault="00FD6C1D" w:rsidP="00FD6C1D">
            <w:pPr>
              <w:spacing w:after="0" w:line="240" w:lineRule="auto"/>
              <w:jc w:val="right"/>
              <w:rPr>
                <w:rFonts w:ascii="Arial" w:eastAsia="Times New Roman" w:hAnsi="Arial" w:cs="Arial"/>
                <w:sz w:val="20"/>
                <w:szCs w:val="20"/>
              </w:rPr>
            </w:pPr>
            <w:r w:rsidRPr="0078255B">
              <w:t>5 830</w:t>
            </w:r>
          </w:p>
        </w:tc>
        <w:tc>
          <w:tcPr>
            <w:tcW w:w="1300" w:type="dxa"/>
            <w:tcBorders>
              <w:top w:val="nil"/>
              <w:left w:val="nil"/>
              <w:bottom w:val="nil"/>
              <w:right w:val="nil"/>
            </w:tcBorders>
            <w:shd w:val="clear" w:color="auto" w:fill="auto"/>
            <w:noWrap/>
            <w:hideMark/>
          </w:tcPr>
          <w:p w14:paraId="49FB84E6" w14:textId="53A21C78" w:rsidR="00FD6C1D" w:rsidRPr="009C6D5F" w:rsidRDefault="00FD6C1D" w:rsidP="00FD6C1D">
            <w:pPr>
              <w:spacing w:after="0" w:line="240" w:lineRule="auto"/>
              <w:jc w:val="right"/>
              <w:rPr>
                <w:rFonts w:ascii="Arial" w:eastAsia="Times New Roman" w:hAnsi="Arial" w:cs="Arial"/>
                <w:sz w:val="20"/>
                <w:szCs w:val="20"/>
              </w:rPr>
            </w:pPr>
            <w:r w:rsidRPr="0078255B">
              <w:t>359</w:t>
            </w:r>
          </w:p>
        </w:tc>
      </w:tr>
      <w:tr w:rsidR="00FD6C1D" w:rsidRPr="009C6D5F" w14:paraId="28086E5E"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4391AD41" w14:textId="711AE9E5"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Metalurgia a strojárenstvo</w:t>
            </w:r>
          </w:p>
        </w:tc>
        <w:tc>
          <w:tcPr>
            <w:tcW w:w="1280" w:type="dxa"/>
            <w:tcBorders>
              <w:top w:val="nil"/>
              <w:left w:val="nil"/>
              <w:bottom w:val="nil"/>
              <w:right w:val="nil"/>
            </w:tcBorders>
            <w:shd w:val="clear" w:color="auto" w:fill="auto"/>
            <w:noWrap/>
            <w:hideMark/>
          </w:tcPr>
          <w:p w14:paraId="46B05ED8" w14:textId="445EC275" w:rsidR="00FD6C1D" w:rsidRPr="009C6D5F" w:rsidRDefault="00FD6C1D" w:rsidP="00FD6C1D">
            <w:pPr>
              <w:spacing w:after="0" w:line="240" w:lineRule="auto"/>
              <w:jc w:val="right"/>
              <w:rPr>
                <w:rFonts w:ascii="Arial" w:eastAsia="Times New Roman" w:hAnsi="Arial" w:cs="Arial"/>
                <w:sz w:val="20"/>
                <w:szCs w:val="20"/>
              </w:rPr>
            </w:pPr>
            <w:r w:rsidRPr="0078255B">
              <w:t>1 614</w:t>
            </w:r>
          </w:p>
        </w:tc>
        <w:tc>
          <w:tcPr>
            <w:tcW w:w="1420" w:type="dxa"/>
            <w:tcBorders>
              <w:top w:val="nil"/>
              <w:left w:val="nil"/>
              <w:bottom w:val="nil"/>
              <w:right w:val="nil"/>
            </w:tcBorders>
            <w:shd w:val="clear" w:color="auto" w:fill="auto"/>
            <w:noWrap/>
            <w:hideMark/>
          </w:tcPr>
          <w:p w14:paraId="77336233" w14:textId="5661AF65" w:rsidR="00FD6C1D" w:rsidRPr="009C6D5F" w:rsidRDefault="00FD6C1D" w:rsidP="00FD6C1D">
            <w:pPr>
              <w:spacing w:after="0" w:line="240" w:lineRule="auto"/>
              <w:jc w:val="right"/>
              <w:rPr>
                <w:rFonts w:ascii="Arial" w:eastAsia="Times New Roman" w:hAnsi="Arial" w:cs="Arial"/>
                <w:sz w:val="20"/>
                <w:szCs w:val="20"/>
              </w:rPr>
            </w:pPr>
            <w:r w:rsidRPr="0078255B">
              <w:t>1 515</w:t>
            </w:r>
          </w:p>
        </w:tc>
        <w:tc>
          <w:tcPr>
            <w:tcW w:w="1300" w:type="dxa"/>
            <w:tcBorders>
              <w:top w:val="nil"/>
              <w:left w:val="nil"/>
              <w:bottom w:val="nil"/>
              <w:right w:val="nil"/>
            </w:tcBorders>
            <w:shd w:val="clear" w:color="auto" w:fill="auto"/>
            <w:noWrap/>
            <w:hideMark/>
          </w:tcPr>
          <w:p w14:paraId="094B47A6" w14:textId="1DBE9B67" w:rsidR="00FD6C1D" w:rsidRPr="009C6D5F" w:rsidRDefault="00FD6C1D" w:rsidP="00FD6C1D">
            <w:pPr>
              <w:spacing w:after="0" w:line="240" w:lineRule="auto"/>
              <w:jc w:val="right"/>
              <w:rPr>
                <w:rFonts w:ascii="Arial" w:eastAsia="Times New Roman" w:hAnsi="Arial" w:cs="Arial"/>
                <w:sz w:val="20"/>
                <w:szCs w:val="20"/>
              </w:rPr>
            </w:pPr>
            <w:r w:rsidRPr="0078255B">
              <w:t>-99</w:t>
            </w:r>
          </w:p>
        </w:tc>
      </w:tr>
      <w:tr w:rsidR="00FD6C1D" w:rsidRPr="009C6D5F" w14:paraId="19BCF0B4"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667ED56D" w14:textId="7777777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Chemický priemysel</w:t>
            </w:r>
          </w:p>
        </w:tc>
        <w:tc>
          <w:tcPr>
            <w:tcW w:w="1280" w:type="dxa"/>
            <w:tcBorders>
              <w:top w:val="nil"/>
              <w:left w:val="nil"/>
              <w:bottom w:val="nil"/>
              <w:right w:val="nil"/>
            </w:tcBorders>
            <w:shd w:val="clear" w:color="auto" w:fill="auto"/>
            <w:noWrap/>
            <w:hideMark/>
          </w:tcPr>
          <w:p w14:paraId="2ACEA92A" w14:textId="5B9B1811" w:rsidR="00FD6C1D" w:rsidRPr="009C6D5F" w:rsidRDefault="00FD6C1D" w:rsidP="00FD6C1D">
            <w:pPr>
              <w:spacing w:after="0" w:line="240" w:lineRule="auto"/>
              <w:jc w:val="right"/>
              <w:rPr>
                <w:rFonts w:ascii="Arial" w:eastAsia="Times New Roman" w:hAnsi="Arial" w:cs="Arial"/>
                <w:sz w:val="20"/>
                <w:szCs w:val="20"/>
              </w:rPr>
            </w:pPr>
            <w:r w:rsidRPr="0078255B">
              <w:t>2 687</w:t>
            </w:r>
          </w:p>
        </w:tc>
        <w:tc>
          <w:tcPr>
            <w:tcW w:w="1420" w:type="dxa"/>
            <w:tcBorders>
              <w:top w:val="nil"/>
              <w:left w:val="nil"/>
              <w:bottom w:val="nil"/>
              <w:right w:val="nil"/>
            </w:tcBorders>
            <w:shd w:val="clear" w:color="auto" w:fill="auto"/>
            <w:noWrap/>
            <w:hideMark/>
          </w:tcPr>
          <w:p w14:paraId="553C7FAE" w14:textId="0F8F0263" w:rsidR="00FD6C1D" w:rsidRPr="009C6D5F" w:rsidRDefault="00FD6C1D" w:rsidP="00FD6C1D">
            <w:pPr>
              <w:spacing w:after="0" w:line="240" w:lineRule="auto"/>
              <w:jc w:val="right"/>
              <w:rPr>
                <w:rFonts w:ascii="Arial" w:eastAsia="Times New Roman" w:hAnsi="Arial" w:cs="Arial"/>
                <w:sz w:val="20"/>
                <w:szCs w:val="20"/>
              </w:rPr>
            </w:pPr>
            <w:r w:rsidRPr="0078255B">
              <w:t>2 707</w:t>
            </w:r>
          </w:p>
        </w:tc>
        <w:tc>
          <w:tcPr>
            <w:tcW w:w="1300" w:type="dxa"/>
            <w:tcBorders>
              <w:top w:val="nil"/>
              <w:left w:val="nil"/>
              <w:bottom w:val="nil"/>
              <w:right w:val="nil"/>
            </w:tcBorders>
            <w:shd w:val="clear" w:color="auto" w:fill="auto"/>
            <w:noWrap/>
            <w:hideMark/>
          </w:tcPr>
          <w:p w14:paraId="0CFB24BC" w14:textId="52BBA8CB" w:rsidR="00FD6C1D" w:rsidRPr="009C6D5F" w:rsidRDefault="00FD6C1D" w:rsidP="00FD6C1D">
            <w:pPr>
              <w:spacing w:after="0" w:line="240" w:lineRule="auto"/>
              <w:jc w:val="right"/>
              <w:rPr>
                <w:rFonts w:ascii="Arial" w:eastAsia="Times New Roman" w:hAnsi="Arial" w:cs="Arial"/>
                <w:sz w:val="20"/>
                <w:szCs w:val="20"/>
              </w:rPr>
            </w:pPr>
            <w:r w:rsidRPr="0078255B">
              <w:t>20</w:t>
            </w:r>
          </w:p>
        </w:tc>
      </w:tr>
      <w:tr w:rsidR="00FD6C1D" w:rsidRPr="009C6D5F" w14:paraId="543B904B"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006AE9E8" w14:textId="3056D31C"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Doprava a infraštruktúra</w:t>
            </w:r>
          </w:p>
        </w:tc>
        <w:tc>
          <w:tcPr>
            <w:tcW w:w="1280" w:type="dxa"/>
            <w:tcBorders>
              <w:top w:val="nil"/>
              <w:left w:val="nil"/>
              <w:bottom w:val="nil"/>
              <w:right w:val="nil"/>
            </w:tcBorders>
            <w:shd w:val="clear" w:color="auto" w:fill="auto"/>
            <w:noWrap/>
            <w:hideMark/>
          </w:tcPr>
          <w:p w14:paraId="209C2BD2" w14:textId="3F7539C9" w:rsidR="00FD6C1D" w:rsidRPr="009C6D5F" w:rsidRDefault="00FD6C1D" w:rsidP="00FD6C1D">
            <w:pPr>
              <w:spacing w:after="0" w:line="240" w:lineRule="auto"/>
              <w:jc w:val="right"/>
              <w:rPr>
                <w:rFonts w:ascii="Arial" w:eastAsia="Times New Roman" w:hAnsi="Arial" w:cs="Arial"/>
                <w:sz w:val="20"/>
                <w:szCs w:val="20"/>
              </w:rPr>
            </w:pPr>
            <w:r w:rsidRPr="0078255B">
              <w:t>283</w:t>
            </w:r>
          </w:p>
        </w:tc>
        <w:tc>
          <w:tcPr>
            <w:tcW w:w="1420" w:type="dxa"/>
            <w:tcBorders>
              <w:top w:val="nil"/>
              <w:left w:val="nil"/>
              <w:bottom w:val="nil"/>
              <w:right w:val="nil"/>
            </w:tcBorders>
            <w:shd w:val="clear" w:color="auto" w:fill="auto"/>
            <w:noWrap/>
            <w:hideMark/>
          </w:tcPr>
          <w:p w14:paraId="2249D628" w14:textId="3D0C8160" w:rsidR="00FD6C1D" w:rsidRPr="009C6D5F" w:rsidRDefault="00FD6C1D" w:rsidP="00FD6C1D">
            <w:pPr>
              <w:spacing w:after="0" w:line="240" w:lineRule="auto"/>
              <w:jc w:val="right"/>
              <w:rPr>
                <w:rFonts w:ascii="Arial" w:eastAsia="Times New Roman" w:hAnsi="Arial" w:cs="Arial"/>
                <w:sz w:val="20"/>
                <w:szCs w:val="20"/>
              </w:rPr>
            </w:pPr>
            <w:r w:rsidRPr="0078255B">
              <w:t>279</w:t>
            </w:r>
          </w:p>
        </w:tc>
        <w:tc>
          <w:tcPr>
            <w:tcW w:w="1300" w:type="dxa"/>
            <w:tcBorders>
              <w:top w:val="nil"/>
              <w:left w:val="nil"/>
              <w:bottom w:val="nil"/>
              <w:right w:val="nil"/>
            </w:tcBorders>
            <w:shd w:val="clear" w:color="auto" w:fill="auto"/>
            <w:noWrap/>
            <w:hideMark/>
          </w:tcPr>
          <w:p w14:paraId="05A98AB9" w14:textId="6573F0A3" w:rsidR="00FD6C1D" w:rsidRPr="009C6D5F" w:rsidRDefault="00FD6C1D" w:rsidP="00FD6C1D">
            <w:pPr>
              <w:spacing w:after="0" w:line="240" w:lineRule="auto"/>
              <w:jc w:val="right"/>
              <w:rPr>
                <w:rFonts w:ascii="Arial" w:eastAsia="Times New Roman" w:hAnsi="Arial" w:cs="Arial"/>
                <w:sz w:val="20"/>
                <w:szCs w:val="20"/>
              </w:rPr>
            </w:pPr>
            <w:r w:rsidRPr="0078255B">
              <w:t>-4</w:t>
            </w:r>
          </w:p>
        </w:tc>
      </w:tr>
      <w:tr w:rsidR="00FD6C1D" w:rsidRPr="009C6D5F" w14:paraId="522A0767"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0C1B6E78" w14:textId="7777777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Spracovanie dreva a výroba papiera</w:t>
            </w:r>
          </w:p>
        </w:tc>
        <w:tc>
          <w:tcPr>
            <w:tcW w:w="1280" w:type="dxa"/>
            <w:tcBorders>
              <w:top w:val="nil"/>
              <w:left w:val="nil"/>
              <w:bottom w:val="nil"/>
              <w:right w:val="nil"/>
            </w:tcBorders>
            <w:shd w:val="clear" w:color="auto" w:fill="auto"/>
            <w:noWrap/>
            <w:hideMark/>
          </w:tcPr>
          <w:p w14:paraId="1369ABE4" w14:textId="531E45F1" w:rsidR="00FD6C1D" w:rsidRPr="009C6D5F" w:rsidRDefault="00FD6C1D" w:rsidP="00FD6C1D">
            <w:pPr>
              <w:spacing w:after="0" w:line="240" w:lineRule="auto"/>
              <w:jc w:val="right"/>
              <w:rPr>
                <w:rFonts w:ascii="Arial" w:eastAsia="Times New Roman" w:hAnsi="Arial" w:cs="Arial"/>
                <w:sz w:val="20"/>
                <w:szCs w:val="20"/>
              </w:rPr>
            </w:pPr>
            <w:r w:rsidRPr="0078255B">
              <w:t>560</w:t>
            </w:r>
          </w:p>
        </w:tc>
        <w:tc>
          <w:tcPr>
            <w:tcW w:w="1420" w:type="dxa"/>
            <w:tcBorders>
              <w:top w:val="nil"/>
              <w:left w:val="nil"/>
              <w:bottom w:val="nil"/>
              <w:right w:val="nil"/>
            </w:tcBorders>
            <w:shd w:val="clear" w:color="auto" w:fill="auto"/>
            <w:noWrap/>
            <w:hideMark/>
          </w:tcPr>
          <w:p w14:paraId="57F40971" w14:textId="5A8090C1" w:rsidR="00FD6C1D" w:rsidRPr="009C6D5F" w:rsidRDefault="00FD6C1D" w:rsidP="00FD6C1D">
            <w:pPr>
              <w:spacing w:after="0" w:line="240" w:lineRule="auto"/>
              <w:jc w:val="right"/>
              <w:rPr>
                <w:rFonts w:ascii="Arial" w:eastAsia="Times New Roman" w:hAnsi="Arial" w:cs="Arial"/>
                <w:sz w:val="20"/>
                <w:szCs w:val="20"/>
              </w:rPr>
            </w:pPr>
            <w:r w:rsidRPr="0078255B">
              <w:t>540</w:t>
            </w:r>
          </w:p>
        </w:tc>
        <w:tc>
          <w:tcPr>
            <w:tcW w:w="1300" w:type="dxa"/>
            <w:tcBorders>
              <w:top w:val="nil"/>
              <w:left w:val="nil"/>
              <w:bottom w:val="nil"/>
              <w:right w:val="nil"/>
            </w:tcBorders>
            <w:shd w:val="clear" w:color="auto" w:fill="auto"/>
            <w:noWrap/>
            <w:hideMark/>
          </w:tcPr>
          <w:p w14:paraId="481B160F" w14:textId="1627BFF4" w:rsidR="00FD6C1D" w:rsidRPr="009C6D5F" w:rsidRDefault="00FD6C1D" w:rsidP="00FD6C1D">
            <w:pPr>
              <w:spacing w:after="0" w:line="240" w:lineRule="auto"/>
              <w:jc w:val="right"/>
              <w:rPr>
                <w:rFonts w:ascii="Arial" w:eastAsia="Times New Roman" w:hAnsi="Arial" w:cs="Arial"/>
                <w:sz w:val="20"/>
                <w:szCs w:val="20"/>
              </w:rPr>
            </w:pPr>
            <w:r w:rsidRPr="0078255B">
              <w:t>-20</w:t>
            </w:r>
          </w:p>
        </w:tc>
      </w:tr>
      <w:tr w:rsidR="00FD6C1D" w:rsidRPr="009C6D5F" w14:paraId="010A745A"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316ADEF9" w14:textId="7777777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Stavebný priemysel</w:t>
            </w:r>
          </w:p>
        </w:tc>
        <w:tc>
          <w:tcPr>
            <w:tcW w:w="1280" w:type="dxa"/>
            <w:tcBorders>
              <w:top w:val="nil"/>
              <w:left w:val="nil"/>
              <w:bottom w:val="nil"/>
              <w:right w:val="nil"/>
            </w:tcBorders>
            <w:shd w:val="clear" w:color="auto" w:fill="auto"/>
            <w:noWrap/>
            <w:hideMark/>
          </w:tcPr>
          <w:p w14:paraId="6BF8C727" w14:textId="0B666EA4" w:rsidR="00FD6C1D" w:rsidRPr="009C6D5F" w:rsidRDefault="00FD6C1D" w:rsidP="00FD6C1D">
            <w:pPr>
              <w:spacing w:after="0" w:line="240" w:lineRule="auto"/>
              <w:jc w:val="right"/>
              <w:rPr>
                <w:rFonts w:ascii="Arial" w:eastAsia="Times New Roman" w:hAnsi="Arial" w:cs="Arial"/>
                <w:sz w:val="20"/>
                <w:szCs w:val="20"/>
              </w:rPr>
            </w:pPr>
            <w:r w:rsidRPr="0078255B">
              <w:t>1 545</w:t>
            </w:r>
          </w:p>
        </w:tc>
        <w:tc>
          <w:tcPr>
            <w:tcW w:w="1420" w:type="dxa"/>
            <w:tcBorders>
              <w:top w:val="nil"/>
              <w:left w:val="nil"/>
              <w:bottom w:val="nil"/>
              <w:right w:val="nil"/>
            </w:tcBorders>
            <w:shd w:val="clear" w:color="auto" w:fill="auto"/>
            <w:noWrap/>
            <w:hideMark/>
          </w:tcPr>
          <w:p w14:paraId="41FD150F" w14:textId="26304377" w:rsidR="00FD6C1D" w:rsidRPr="009C6D5F" w:rsidRDefault="00FD6C1D" w:rsidP="00FD6C1D">
            <w:pPr>
              <w:spacing w:after="0" w:line="240" w:lineRule="auto"/>
              <w:jc w:val="right"/>
              <w:rPr>
                <w:rFonts w:ascii="Arial" w:eastAsia="Times New Roman" w:hAnsi="Arial" w:cs="Arial"/>
                <w:sz w:val="20"/>
                <w:szCs w:val="20"/>
              </w:rPr>
            </w:pPr>
            <w:r w:rsidRPr="0078255B">
              <w:t>1 926</w:t>
            </w:r>
          </w:p>
        </w:tc>
        <w:tc>
          <w:tcPr>
            <w:tcW w:w="1300" w:type="dxa"/>
            <w:tcBorders>
              <w:top w:val="nil"/>
              <w:left w:val="nil"/>
              <w:bottom w:val="nil"/>
              <w:right w:val="nil"/>
            </w:tcBorders>
            <w:shd w:val="clear" w:color="auto" w:fill="auto"/>
            <w:noWrap/>
            <w:hideMark/>
          </w:tcPr>
          <w:p w14:paraId="251DBDE3" w14:textId="1A65D66D" w:rsidR="00FD6C1D" w:rsidRPr="009C6D5F" w:rsidRDefault="00FD6C1D" w:rsidP="00FD6C1D">
            <w:pPr>
              <w:spacing w:after="0" w:line="240" w:lineRule="auto"/>
              <w:jc w:val="right"/>
              <w:rPr>
                <w:rFonts w:ascii="Arial" w:eastAsia="Times New Roman" w:hAnsi="Arial" w:cs="Arial"/>
                <w:sz w:val="20"/>
                <w:szCs w:val="20"/>
              </w:rPr>
            </w:pPr>
            <w:r w:rsidRPr="0078255B">
              <w:t>381</w:t>
            </w:r>
          </w:p>
        </w:tc>
      </w:tr>
      <w:tr w:rsidR="00FD6C1D" w:rsidRPr="00B13FC6" w14:paraId="66A64F30" w14:textId="77777777" w:rsidTr="00A675BB">
        <w:trPr>
          <w:trHeight w:val="255"/>
        </w:trPr>
        <w:tc>
          <w:tcPr>
            <w:tcW w:w="4800" w:type="dxa"/>
            <w:gridSpan w:val="5"/>
            <w:tcBorders>
              <w:top w:val="nil"/>
              <w:left w:val="nil"/>
              <w:bottom w:val="single" w:sz="4" w:space="0" w:color="auto"/>
              <w:right w:val="nil"/>
            </w:tcBorders>
            <w:shd w:val="clear" w:color="auto" w:fill="auto"/>
            <w:noWrap/>
            <w:vAlign w:val="bottom"/>
            <w:hideMark/>
          </w:tcPr>
          <w:p w14:paraId="091E4DBB" w14:textId="77777777" w:rsidR="00FD6C1D" w:rsidRPr="009C6D5F" w:rsidRDefault="00FD6C1D" w:rsidP="00FD6C1D">
            <w:pPr>
              <w:spacing w:after="0" w:line="240" w:lineRule="auto"/>
              <w:rPr>
                <w:rFonts w:ascii="Arial" w:eastAsia="Times New Roman" w:hAnsi="Arial" w:cs="Arial"/>
                <w:sz w:val="20"/>
                <w:szCs w:val="20"/>
              </w:rPr>
            </w:pPr>
            <w:r w:rsidRPr="009C6D5F">
              <w:rPr>
                <w:rFonts w:ascii="Arial" w:eastAsia="Times New Roman" w:hAnsi="Arial" w:cs="Arial"/>
                <w:sz w:val="20"/>
                <w:szCs w:val="20"/>
              </w:rPr>
              <w:t>Iné odvetvia</w:t>
            </w:r>
          </w:p>
        </w:tc>
        <w:tc>
          <w:tcPr>
            <w:tcW w:w="1280" w:type="dxa"/>
            <w:tcBorders>
              <w:top w:val="nil"/>
              <w:left w:val="nil"/>
              <w:bottom w:val="single" w:sz="4" w:space="0" w:color="auto"/>
              <w:right w:val="nil"/>
            </w:tcBorders>
            <w:shd w:val="clear" w:color="auto" w:fill="auto"/>
            <w:noWrap/>
            <w:hideMark/>
          </w:tcPr>
          <w:p w14:paraId="6A98B8C7" w14:textId="5746B12D" w:rsidR="00FD6C1D" w:rsidRPr="009C6D5F" w:rsidRDefault="00FD6C1D" w:rsidP="00FD6C1D">
            <w:pPr>
              <w:spacing w:after="0" w:line="240" w:lineRule="auto"/>
              <w:jc w:val="right"/>
              <w:rPr>
                <w:rFonts w:ascii="Arial" w:eastAsia="Times New Roman" w:hAnsi="Arial" w:cs="Arial"/>
                <w:sz w:val="20"/>
                <w:szCs w:val="20"/>
              </w:rPr>
            </w:pPr>
            <w:r w:rsidRPr="0078255B">
              <w:t>14 506</w:t>
            </w:r>
          </w:p>
        </w:tc>
        <w:tc>
          <w:tcPr>
            <w:tcW w:w="1420" w:type="dxa"/>
            <w:tcBorders>
              <w:top w:val="nil"/>
              <w:left w:val="nil"/>
              <w:bottom w:val="single" w:sz="4" w:space="0" w:color="auto"/>
              <w:right w:val="nil"/>
            </w:tcBorders>
            <w:shd w:val="clear" w:color="auto" w:fill="auto"/>
            <w:noWrap/>
            <w:hideMark/>
          </w:tcPr>
          <w:p w14:paraId="7FF59852" w14:textId="21DE9DDE" w:rsidR="00FD6C1D" w:rsidRPr="009C6D5F" w:rsidRDefault="00FD6C1D" w:rsidP="00FD6C1D">
            <w:pPr>
              <w:spacing w:after="0" w:line="240" w:lineRule="auto"/>
              <w:jc w:val="right"/>
              <w:rPr>
                <w:rFonts w:ascii="Arial" w:eastAsia="Times New Roman" w:hAnsi="Arial" w:cs="Arial"/>
                <w:sz w:val="20"/>
                <w:szCs w:val="20"/>
              </w:rPr>
            </w:pPr>
            <w:r w:rsidRPr="0078255B">
              <w:t>12 550</w:t>
            </w:r>
          </w:p>
        </w:tc>
        <w:tc>
          <w:tcPr>
            <w:tcW w:w="1300" w:type="dxa"/>
            <w:tcBorders>
              <w:top w:val="nil"/>
              <w:left w:val="nil"/>
              <w:bottom w:val="single" w:sz="4" w:space="0" w:color="auto"/>
              <w:right w:val="nil"/>
            </w:tcBorders>
            <w:shd w:val="clear" w:color="auto" w:fill="auto"/>
            <w:noWrap/>
            <w:hideMark/>
          </w:tcPr>
          <w:p w14:paraId="0BE18B36" w14:textId="65381869" w:rsidR="00FD6C1D" w:rsidRPr="00B13FC6" w:rsidRDefault="00FD6C1D" w:rsidP="00FD6C1D">
            <w:pPr>
              <w:spacing w:after="0" w:line="240" w:lineRule="auto"/>
              <w:jc w:val="right"/>
              <w:rPr>
                <w:rFonts w:ascii="Arial" w:eastAsia="Times New Roman" w:hAnsi="Arial" w:cs="Arial"/>
                <w:sz w:val="20"/>
                <w:szCs w:val="20"/>
              </w:rPr>
            </w:pPr>
            <w:r w:rsidRPr="0078255B">
              <w:t>-1 956</w:t>
            </w:r>
          </w:p>
        </w:tc>
      </w:tr>
    </w:tbl>
    <w:p w14:paraId="6BC37607" w14:textId="6AA2928F" w:rsidR="00C60CC2" w:rsidRPr="00A460E6" w:rsidRDefault="00C60CC2" w:rsidP="007D4D7C">
      <w:pPr>
        <w:pStyle w:val="ListParagraph"/>
        <w:numPr>
          <w:ilvl w:val="0"/>
          <w:numId w:val="36"/>
        </w:numPr>
        <w:jc w:val="both"/>
        <w:rPr>
          <w:rFonts w:ascii="Arial" w:hAnsi="Arial" w:cs="Arial"/>
          <w:b/>
          <w:color w:val="000000" w:themeColor="text1"/>
          <w:sz w:val="20"/>
          <w:szCs w:val="20"/>
        </w:rPr>
      </w:pPr>
      <w:r w:rsidRPr="00A460E6">
        <w:rPr>
          <w:rFonts w:ascii="Arial" w:hAnsi="Arial" w:cs="Arial"/>
          <w:b/>
          <w:sz w:val="20"/>
          <w:szCs w:val="20"/>
        </w:rPr>
        <w:t xml:space="preserve">Objem expozícií zhoršenej kvality a expozícií po termíne splatnosti rozdelených podľa významných geografických oblastí a ak je to možné aj objemy špecifických a všeobecných </w:t>
      </w:r>
      <w:r w:rsidRPr="00A460E6">
        <w:rPr>
          <w:rFonts w:ascii="Arial" w:hAnsi="Arial" w:cs="Arial"/>
          <w:b/>
          <w:color w:val="000000" w:themeColor="text1"/>
          <w:sz w:val="20"/>
          <w:szCs w:val="20"/>
        </w:rPr>
        <w:t>úprav kreditného rizika týkajúcich sa každej geografickej oblasti</w:t>
      </w:r>
    </w:p>
    <w:tbl>
      <w:tblPr>
        <w:tblW w:w="9957" w:type="dxa"/>
        <w:tblCellMar>
          <w:left w:w="70" w:type="dxa"/>
          <w:right w:w="70" w:type="dxa"/>
        </w:tblCellMar>
        <w:tblLook w:val="04A0" w:firstRow="1" w:lastRow="0" w:firstColumn="1" w:lastColumn="0" w:noHBand="0" w:noVBand="1"/>
      </w:tblPr>
      <w:tblGrid>
        <w:gridCol w:w="885"/>
        <w:gridCol w:w="1383"/>
        <w:gridCol w:w="885"/>
        <w:gridCol w:w="885"/>
        <w:gridCol w:w="2157"/>
        <w:gridCol w:w="663"/>
        <w:gridCol w:w="684"/>
        <w:gridCol w:w="1069"/>
        <w:gridCol w:w="351"/>
        <w:gridCol w:w="995"/>
      </w:tblGrid>
      <w:tr w:rsidR="0015739F" w:rsidRPr="009C6D5F" w14:paraId="0286CB39" w14:textId="77777777" w:rsidTr="00AB1CE0">
        <w:trPr>
          <w:trHeight w:val="225"/>
        </w:trPr>
        <w:tc>
          <w:tcPr>
            <w:tcW w:w="2268" w:type="dxa"/>
            <w:gridSpan w:val="2"/>
            <w:tcBorders>
              <w:top w:val="nil"/>
              <w:left w:val="nil"/>
              <w:bottom w:val="nil"/>
              <w:right w:val="nil"/>
            </w:tcBorders>
            <w:shd w:val="clear" w:color="000000" w:fill="FFFFFF"/>
            <w:noWrap/>
            <w:vAlign w:val="bottom"/>
            <w:hideMark/>
          </w:tcPr>
          <w:p w14:paraId="68DB21C8"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885" w:type="dxa"/>
            <w:tcBorders>
              <w:top w:val="nil"/>
              <w:left w:val="nil"/>
              <w:bottom w:val="nil"/>
              <w:right w:val="nil"/>
            </w:tcBorders>
            <w:shd w:val="clear" w:color="000000" w:fill="FFFFFF"/>
          </w:tcPr>
          <w:p w14:paraId="12389FCB" w14:textId="77777777" w:rsidR="0015739F" w:rsidRPr="00B13FC6" w:rsidRDefault="0015739F" w:rsidP="00562F23">
            <w:pPr>
              <w:spacing w:after="0" w:line="240" w:lineRule="auto"/>
              <w:rPr>
                <w:rFonts w:ascii="Arial" w:eastAsia="Times New Roman" w:hAnsi="Arial" w:cs="Arial"/>
                <w:color w:val="000000" w:themeColor="text1"/>
                <w:sz w:val="18"/>
                <w:szCs w:val="18"/>
              </w:rPr>
            </w:pPr>
          </w:p>
        </w:tc>
        <w:tc>
          <w:tcPr>
            <w:tcW w:w="885" w:type="dxa"/>
            <w:tcBorders>
              <w:top w:val="nil"/>
              <w:left w:val="nil"/>
              <w:bottom w:val="nil"/>
              <w:right w:val="nil"/>
            </w:tcBorders>
            <w:shd w:val="clear" w:color="000000" w:fill="FFFFFF"/>
            <w:noWrap/>
            <w:vAlign w:val="bottom"/>
            <w:hideMark/>
          </w:tcPr>
          <w:p w14:paraId="39ABEF44" w14:textId="7B414673"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2157" w:type="dxa"/>
            <w:tcBorders>
              <w:top w:val="nil"/>
              <w:left w:val="nil"/>
              <w:bottom w:val="nil"/>
              <w:right w:val="nil"/>
            </w:tcBorders>
            <w:shd w:val="clear" w:color="000000" w:fill="FFFFFF"/>
            <w:noWrap/>
            <w:vAlign w:val="bottom"/>
            <w:hideMark/>
          </w:tcPr>
          <w:p w14:paraId="1406D5FA"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663" w:type="dxa"/>
            <w:tcBorders>
              <w:top w:val="nil"/>
              <w:left w:val="nil"/>
              <w:bottom w:val="nil"/>
              <w:right w:val="nil"/>
            </w:tcBorders>
            <w:shd w:val="clear" w:color="000000" w:fill="FFFFFF"/>
            <w:noWrap/>
            <w:vAlign w:val="bottom"/>
            <w:hideMark/>
          </w:tcPr>
          <w:p w14:paraId="654B9C3A"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684" w:type="dxa"/>
            <w:tcBorders>
              <w:top w:val="nil"/>
              <w:left w:val="nil"/>
              <w:bottom w:val="nil"/>
              <w:right w:val="nil"/>
            </w:tcBorders>
            <w:shd w:val="clear" w:color="000000" w:fill="FFFFFF"/>
            <w:noWrap/>
            <w:vAlign w:val="bottom"/>
            <w:hideMark/>
          </w:tcPr>
          <w:p w14:paraId="20B5570E"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1069" w:type="dxa"/>
            <w:tcBorders>
              <w:top w:val="nil"/>
              <w:left w:val="nil"/>
              <w:bottom w:val="nil"/>
              <w:right w:val="nil"/>
            </w:tcBorders>
            <w:shd w:val="clear" w:color="000000" w:fill="FFFFFF"/>
            <w:noWrap/>
            <w:vAlign w:val="bottom"/>
            <w:hideMark/>
          </w:tcPr>
          <w:p w14:paraId="67D982D5"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351" w:type="dxa"/>
            <w:tcBorders>
              <w:top w:val="nil"/>
              <w:left w:val="nil"/>
              <w:bottom w:val="nil"/>
              <w:right w:val="nil"/>
            </w:tcBorders>
            <w:shd w:val="clear" w:color="000000" w:fill="FFFFFF"/>
            <w:noWrap/>
            <w:vAlign w:val="bottom"/>
            <w:hideMark/>
          </w:tcPr>
          <w:p w14:paraId="1E7D21E9"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995" w:type="dxa"/>
            <w:tcBorders>
              <w:top w:val="nil"/>
              <w:left w:val="nil"/>
              <w:bottom w:val="nil"/>
              <w:right w:val="nil"/>
            </w:tcBorders>
            <w:shd w:val="clear" w:color="000000" w:fill="FFFFFF"/>
            <w:noWrap/>
            <w:vAlign w:val="bottom"/>
            <w:hideMark/>
          </w:tcPr>
          <w:p w14:paraId="418ABD23" w14:textId="77777777" w:rsidR="0015739F" w:rsidRPr="009C6D5F" w:rsidRDefault="0015739F" w:rsidP="00562F23">
            <w:pPr>
              <w:spacing w:after="0" w:line="240" w:lineRule="auto"/>
              <w:jc w:val="right"/>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(v tis. EUR)</w:t>
            </w:r>
          </w:p>
        </w:tc>
      </w:tr>
      <w:tr w:rsidR="0015739F" w:rsidRPr="009C6D5F" w14:paraId="0B77188E" w14:textId="77777777" w:rsidTr="00AB1CE0">
        <w:trPr>
          <w:trHeight w:val="450"/>
        </w:trPr>
        <w:tc>
          <w:tcPr>
            <w:tcW w:w="885" w:type="dxa"/>
            <w:tcBorders>
              <w:top w:val="single" w:sz="4" w:space="0" w:color="auto"/>
              <w:left w:val="nil"/>
              <w:bottom w:val="single" w:sz="4" w:space="0" w:color="auto"/>
              <w:right w:val="nil"/>
            </w:tcBorders>
            <w:shd w:val="clear" w:color="000000" w:fill="FFFFFF"/>
          </w:tcPr>
          <w:p w14:paraId="1DAFF0B1" w14:textId="77777777" w:rsidR="0015739F" w:rsidRPr="009C6D5F" w:rsidRDefault="0015739F" w:rsidP="00562F23">
            <w:pPr>
              <w:spacing w:after="0" w:line="240" w:lineRule="auto"/>
              <w:rPr>
                <w:rFonts w:ascii="Arial" w:eastAsia="Times New Roman" w:hAnsi="Arial" w:cs="Arial"/>
                <w:b/>
                <w:bCs/>
                <w:color w:val="000000" w:themeColor="text1"/>
                <w:sz w:val="18"/>
                <w:szCs w:val="18"/>
              </w:rPr>
            </w:pPr>
          </w:p>
        </w:tc>
        <w:tc>
          <w:tcPr>
            <w:tcW w:w="6657" w:type="dxa"/>
            <w:gridSpan w:val="6"/>
            <w:tcBorders>
              <w:top w:val="single" w:sz="4" w:space="0" w:color="auto"/>
              <w:left w:val="nil"/>
              <w:bottom w:val="single" w:sz="4" w:space="0" w:color="auto"/>
              <w:right w:val="nil"/>
            </w:tcBorders>
            <w:shd w:val="clear" w:color="000000" w:fill="FFFFFF"/>
            <w:noWrap/>
            <w:vAlign w:val="bottom"/>
            <w:hideMark/>
          </w:tcPr>
          <w:p w14:paraId="082F0594" w14:textId="2156E585" w:rsidR="0015739F" w:rsidRPr="009C6D5F" w:rsidRDefault="0015739F" w:rsidP="00562F23">
            <w:pPr>
              <w:spacing w:after="0" w:line="240" w:lineRule="auto"/>
              <w:rPr>
                <w:rFonts w:ascii="Arial" w:eastAsia="Times New Roman" w:hAnsi="Arial" w:cs="Arial"/>
                <w:b/>
                <w:bCs/>
                <w:color w:val="000000" w:themeColor="text1"/>
                <w:sz w:val="18"/>
                <w:szCs w:val="18"/>
              </w:rPr>
            </w:pPr>
            <w:r w:rsidRPr="009C6D5F">
              <w:rPr>
                <w:rFonts w:ascii="Arial" w:eastAsia="Times New Roman" w:hAnsi="Arial" w:cs="Arial"/>
                <w:b/>
                <w:bCs/>
                <w:color w:val="000000" w:themeColor="text1"/>
                <w:sz w:val="18"/>
                <w:szCs w:val="18"/>
              </w:rPr>
              <w:t>Druh pohľadávky</w:t>
            </w:r>
          </w:p>
        </w:tc>
        <w:tc>
          <w:tcPr>
            <w:tcW w:w="1420" w:type="dxa"/>
            <w:gridSpan w:val="2"/>
            <w:tcBorders>
              <w:top w:val="single" w:sz="4" w:space="0" w:color="auto"/>
              <w:left w:val="nil"/>
              <w:bottom w:val="single" w:sz="4" w:space="0" w:color="auto"/>
              <w:right w:val="nil"/>
            </w:tcBorders>
            <w:shd w:val="clear" w:color="000000" w:fill="FFFFFF"/>
            <w:vAlign w:val="bottom"/>
            <w:hideMark/>
          </w:tcPr>
          <w:p w14:paraId="0EF5B744" w14:textId="77777777" w:rsidR="0015739F" w:rsidRPr="009C6D5F" w:rsidRDefault="0015739F" w:rsidP="00562F23">
            <w:pPr>
              <w:spacing w:after="0" w:line="240" w:lineRule="auto"/>
              <w:jc w:val="center"/>
              <w:rPr>
                <w:rFonts w:ascii="Arial" w:eastAsia="Times New Roman" w:hAnsi="Arial" w:cs="Arial"/>
                <w:b/>
                <w:bCs/>
                <w:color w:val="000000" w:themeColor="text1"/>
                <w:sz w:val="18"/>
                <w:szCs w:val="18"/>
              </w:rPr>
            </w:pPr>
            <w:r w:rsidRPr="009C6D5F">
              <w:rPr>
                <w:rFonts w:ascii="Arial" w:eastAsia="Times New Roman" w:hAnsi="Arial" w:cs="Arial"/>
                <w:b/>
                <w:bCs/>
                <w:color w:val="000000" w:themeColor="text1"/>
                <w:sz w:val="18"/>
                <w:szCs w:val="18"/>
              </w:rPr>
              <w:t>Slovenská republika</w:t>
            </w:r>
          </w:p>
        </w:tc>
        <w:tc>
          <w:tcPr>
            <w:tcW w:w="995" w:type="dxa"/>
            <w:tcBorders>
              <w:top w:val="single" w:sz="4" w:space="0" w:color="auto"/>
              <w:left w:val="nil"/>
              <w:bottom w:val="single" w:sz="4" w:space="0" w:color="auto"/>
              <w:right w:val="nil"/>
            </w:tcBorders>
            <w:shd w:val="clear" w:color="000000" w:fill="FFFFFF"/>
            <w:vAlign w:val="bottom"/>
            <w:hideMark/>
          </w:tcPr>
          <w:p w14:paraId="03847487" w14:textId="77777777" w:rsidR="0015739F" w:rsidRPr="009C6D5F" w:rsidRDefault="0015739F" w:rsidP="00562F23">
            <w:pPr>
              <w:spacing w:after="0" w:line="240" w:lineRule="auto"/>
              <w:jc w:val="center"/>
              <w:rPr>
                <w:rFonts w:ascii="Arial" w:eastAsia="Times New Roman" w:hAnsi="Arial" w:cs="Arial"/>
                <w:b/>
                <w:bCs/>
                <w:color w:val="000000" w:themeColor="text1"/>
                <w:sz w:val="18"/>
                <w:szCs w:val="18"/>
              </w:rPr>
            </w:pPr>
            <w:r w:rsidRPr="009C6D5F">
              <w:rPr>
                <w:rFonts w:ascii="Arial" w:eastAsia="Times New Roman" w:hAnsi="Arial" w:cs="Arial"/>
                <w:b/>
                <w:bCs/>
                <w:color w:val="000000" w:themeColor="text1"/>
                <w:sz w:val="18"/>
                <w:szCs w:val="18"/>
              </w:rPr>
              <w:t>Ostatné krajiny</w:t>
            </w:r>
          </w:p>
        </w:tc>
      </w:tr>
      <w:tr w:rsidR="00FD6C1D" w:rsidRPr="009C6D5F" w14:paraId="05B3196C" w14:textId="77777777" w:rsidTr="00D6189F">
        <w:trPr>
          <w:trHeight w:val="225"/>
        </w:trPr>
        <w:tc>
          <w:tcPr>
            <w:tcW w:w="885" w:type="dxa"/>
            <w:tcBorders>
              <w:top w:val="nil"/>
              <w:left w:val="nil"/>
              <w:bottom w:val="nil"/>
              <w:right w:val="nil"/>
            </w:tcBorders>
            <w:shd w:val="clear" w:color="000000" w:fill="FFFFFF"/>
          </w:tcPr>
          <w:p w14:paraId="0FB4F7A3" w14:textId="77777777" w:rsidR="00FD6C1D" w:rsidRPr="009C6D5F" w:rsidRDefault="00FD6C1D" w:rsidP="00FD6C1D">
            <w:pPr>
              <w:spacing w:after="0" w:line="240" w:lineRule="auto"/>
              <w:rPr>
                <w:rFonts w:ascii="Arial" w:eastAsia="Times New Roman" w:hAnsi="Arial" w:cs="Arial"/>
                <w:color w:val="000000" w:themeColor="text1"/>
                <w:sz w:val="18"/>
                <w:szCs w:val="18"/>
              </w:rPr>
            </w:pPr>
          </w:p>
        </w:tc>
        <w:tc>
          <w:tcPr>
            <w:tcW w:w="6657" w:type="dxa"/>
            <w:gridSpan w:val="6"/>
            <w:tcBorders>
              <w:top w:val="nil"/>
              <w:left w:val="nil"/>
              <w:bottom w:val="nil"/>
              <w:right w:val="nil"/>
            </w:tcBorders>
            <w:shd w:val="clear" w:color="000000" w:fill="FFFFFF"/>
            <w:noWrap/>
            <w:vAlign w:val="bottom"/>
            <w:hideMark/>
          </w:tcPr>
          <w:p w14:paraId="72F5AF93" w14:textId="01B173D2" w:rsidR="00FD6C1D" w:rsidRPr="009C6D5F" w:rsidRDefault="00FD6C1D" w:rsidP="00FD6C1D">
            <w:pPr>
              <w:spacing w:after="0" w:line="240" w:lineRule="auto"/>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1. súhrnná výška expozícií so zníženou hodnotou (úroveň 2 a 3)</w:t>
            </w:r>
          </w:p>
        </w:tc>
        <w:tc>
          <w:tcPr>
            <w:tcW w:w="1420" w:type="dxa"/>
            <w:gridSpan w:val="2"/>
            <w:tcBorders>
              <w:top w:val="nil"/>
              <w:left w:val="nil"/>
              <w:bottom w:val="nil"/>
              <w:right w:val="nil"/>
            </w:tcBorders>
            <w:shd w:val="clear" w:color="000000" w:fill="FFFFFF"/>
            <w:noWrap/>
            <w:hideMark/>
          </w:tcPr>
          <w:p w14:paraId="565D947F" w14:textId="6A171DBF" w:rsidR="00FD6C1D" w:rsidRPr="009C6D5F" w:rsidRDefault="00FD6C1D" w:rsidP="00FD6C1D">
            <w:pPr>
              <w:spacing w:after="0" w:line="240" w:lineRule="auto"/>
              <w:jc w:val="center"/>
              <w:rPr>
                <w:rFonts w:ascii="Arial" w:hAnsi="Arial" w:cs="Arial"/>
                <w:color w:val="000000" w:themeColor="text1"/>
                <w:sz w:val="18"/>
                <w:szCs w:val="18"/>
              </w:rPr>
            </w:pPr>
            <w:r w:rsidRPr="001B7308">
              <w:t>130 087</w:t>
            </w:r>
          </w:p>
        </w:tc>
        <w:tc>
          <w:tcPr>
            <w:tcW w:w="995" w:type="dxa"/>
            <w:tcBorders>
              <w:top w:val="nil"/>
              <w:left w:val="nil"/>
              <w:bottom w:val="nil"/>
              <w:right w:val="nil"/>
            </w:tcBorders>
            <w:shd w:val="clear" w:color="000000" w:fill="FFFFFF"/>
            <w:noWrap/>
            <w:hideMark/>
          </w:tcPr>
          <w:p w14:paraId="5F16B88E" w14:textId="24CA2D48" w:rsidR="00FD6C1D" w:rsidRPr="009C6D5F" w:rsidRDefault="00FD6C1D" w:rsidP="00FD6C1D">
            <w:pPr>
              <w:spacing w:after="0" w:line="240" w:lineRule="auto"/>
              <w:jc w:val="center"/>
              <w:rPr>
                <w:rFonts w:ascii="Arial" w:hAnsi="Arial" w:cs="Arial"/>
                <w:color w:val="000000" w:themeColor="text1"/>
                <w:sz w:val="18"/>
                <w:szCs w:val="18"/>
              </w:rPr>
            </w:pPr>
            <w:r w:rsidRPr="001B7308">
              <w:t>2 178</w:t>
            </w:r>
          </w:p>
        </w:tc>
      </w:tr>
      <w:tr w:rsidR="00FD6C1D" w:rsidRPr="009C6D5F" w14:paraId="7434063F" w14:textId="77777777" w:rsidTr="00D6189F">
        <w:trPr>
          <w:trHeight w:val="225"/>
        </w:trPr>
        <w:tc>
          <w:tcPr>
            <w:tcW w:w="885" w:type="dxa"/>
            <w:tcBorders>
              <w:top w:val="single" w:sz="4" w:space="0" w:color="D9D9D9"/>
              <w:left w:val="nil"/>
              <w:bottom w:val="single" w:sz="4" w:space="0" w:color="D9D9D9"/>
              <w:right w:val="nil"/>
            </w:tcBorders>
            <w:shd w:val="clear" w:color="000000" w:fill="FFFFFF"/>
          </w:tcPr>
          <w:p w14:paraId="363ED6A9" w14:textId="77777777" w:rsidR="00FD6C1D" w:rsidRPr="009C6D5F" w:rsidRDefault="00FD6C1D" w:rsidP="00FD6C1D">
            <w:pPr>
              <w:spacing w:after="0" w:line="240" w:lineRule="auto"/>
              <w:rPr>
                <w:rFonts w:ascii="Arial" w:eastAsia="Times New Roman" w:hAnsi="Arial" w:cs="Arial"/>
                <w:color w:val="000000" w:themeColor="text1"/>
                <w:sz w:val="18"/>
                <w:szCs w:val="18"/>
              </w:rPr>
            </w:pPr>
          </w:p>
        </w:tc>
        <w:tc>
          <w:tcPr>
            <w:tcW w:w="6657" w:type="dxa"/>
            <w:gridSpan w:val="6"/>
            <w:tcBorders>
              <w:top w:val="single" w:sz="4" w:space="0" w:color="D9D9D9"/>
              <w:left w:val="nil"/>
              <w:bottom w:val="single" w:sz="4" w:space="0" w:color="D9D9D9"/>
              <w:right w:val="nil"/>
            </w:tcBorders>
            <w:shd w:val="clear" w:color="000000" w:fill="FFFFFF"/>
            <w:noWrap/>
            <w:vAlign w:val="bottom"/>
            <w:hideMark/>
          </w:tcPr>
          <w:p w14:paraId="42E3050C" w14:textId="2C8CF279" w:rsidR="00FD6C1D" w:rsidRPr="009C6D5F" w:rsidRDefault="00FD6C1D" w:rsidP="00FD6C1D">
            <w:pPr>
              <w:spacing w:after="0" w:line="240" w:lineRule="auto"/>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 xml:space="preserve">   opravné položky</w:t>
            </w:r>
          </w:p>
        </w:tc>
        <w:tc>
          <w:tcPr>
            <w:tcW w:w="1420" w:type="dxa"/>
            <w:gridSpan w:val="2"/>
            <w:tcBorders>
              <w:top w:val="single" w:sz="4" w:space="0" w:color="D9D9D9"/>
              <w:left w:val="nil"/>
              <w:bottom w:val="single" w:sz="4" w:space="0" w:color="D9D9D9"/>
              <w:right w:val="nil"/>
            </w:tcBorders>
            <w:shd w:val="clear" w:color="000000" w:fill="FFFFFF"/>
            <w:noWrap/>
            <w:hideMark/>
          </w:tcPr>
          <w:p w14:paraId="1A457BC6" w14:textId="2B709126" w:rsidR="00FD6C1D" w:rsidRPr="009C6D5F" w:rsidRDefault="00FD6C1D" w:rsidP="00FD6C1D">
            <w:pPr>
              <w:spacing w:after="0" w:line="240" w:lineRule="auto"/>
              <w:jc w:val="center"/>
              <w:rPr>
                <w:rFonts w:ascii="Arial" w:hAnsi="Arial" w:cs="Arial"/>
                <w:color w:val="000000" w:themeColor="text1"/>
                <w:sz w:val="18"/>
                <w:szCs w:val="18"/>
              </w:rPr>
            </w:pPr>
            <w:r w:rsidRPr="001B7308">
              <w:t>56 006</w:t>
            </w:r>
          </w:p>
        </w:tc>
        <w:tc>
          <w:tcPr>
            <w:tcW w:w="995" w:type="dxa"/>
            <w:tcBorders>
              <w:top w:val="single" w:sz="4" w:space="0" w:color="D9D9D9"/>
              <w:left w:val="nil"/>
              <w:bottom w:val="single" w:sz="4" w:space="0" w:color="D9D9D9"/>
              <w:right w:val="nil"/>
            </w:tcBorders>
            <w:shd w:val="clear" w:color="000000" w:fill="FFFFFF"/>
            <w:noWrap/>
            <w:hideMark/>
          </w:tcPr>
          <w:p w14:paraId="76AA094F" w14:textId="16A2673D" w:rsidR="00FD6C1D" w:rsidRPr="009C6D5F" w:rsidRDefault="00FD6C1D" w:rsidP="00FD6C1D">
            <w:pPr>
              <w:spacing w:after="0" w:line="240" w:lineRule="auto"/>
              <w:jc w:val="center"/>
              <w:rPr>
                <w:rFonts w:ascii="Arial" w:hAnsi="Arial" w:cs="Arial"/>
                <w:color w:val="000000" w:themeColor="text1"/>
                <w:sz w:val="18"/>
                <w:szCs w:val="18"/>
              </w:rPr>
            </w:pPr>
            <w:r w:rsidRPr="001B7308">
              <w:t>776</w:t>
            </w:r>
          </w:p>
        </w:tc>
      </w:tr>
      <w:tr w:rsidR="00FD6C1D" w:rsidRPr="009C6D5F" w14:paraId="07C4EFF3" w14:textId="77777777" w:rsidTr="00D6189F">
        <w:trPr>
          <w:trHeight w:val="225"/>
        </w:trPr>
        <w:tc>
          <w:tcPr>
            <w:tcW w:w="885" w:type="dxa"/>
            <w:tcBorders>
              <w:top w:val="single" w:sz="4" w:space="0" w:color="D9D9D9"/>
              <w:left w:val="nil"/>
              <w:bottom w:val="single" w:sz="4" w:space="0" w:color="D9D9D9"/>
              <w:right w:val="nil"/>
            </w:tcBorders>
            <w:shd w:val="clear" w:color="000000" w:fill="FFFFFF"/>
          </w:tcPr>
          <w:p w14:paraId="48830822" w14:textId="77777777" w:rsidR="00FD6C1D" w:rsidRPr="009C6D5F" w:rsidRDefault="00FD6C1D" w:rsidP="00FD6C1D">
            <w:pPr>
              <w:spacing w:after="0" w:line="240" w:lineRule="auto"/>
              <w:rPr>
                <w:rFonts w:ascii="Arial" w:eastAsia="Times New Roman" w:hAnsi="Arial" w:cs="Arial"/>
                <w:color w:val="000000" w:themeColor="text1"/>
                <w:sz w:val="18"/>
                <w:szCs w:val="18"/>
              </w:rPr>
            </w:pPr>
          </w:p>
        </w:tc>
        <w:tc>
          <w:tcPr>
            <w:tcW w:w="6657" w:type="dxa"/>
            <w:gridSpan w:val="6"/>
            <w:tcBorders>
              <w:top w:val="single" w:sz="4" w:space="0" w:color="D9D9D9"/>
              <w:left w:val="nil"/>
              <w:bottom w:val="single" w:sz="4" w:space="0" w:color="D9D9D9"/>
              <w:right w:val="nil"/>
            </w:tcBorders>
            <w:shd w:val="clear" w:color="000000" w:fill="FFFFFF"/>
            <w:noWrap/>
            <w:vAlign w:val="bottom"/>
            <w:hideMark/>
          </w:tcPr>
          <w:p w14:paraId="0AE0841E" w14:textId="23BDEEE8" w:rsidR="00FD6C1D" w:rsidRPr="009C6D5F" w:rsidRDefault="00FD6C1D" w:rsidP="00FD6C1D">
            <w:pPr>
              <w:spacing w:after="0" w:line="240" w:lineRule="auto"/>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2. súhrnná výška expozícií po splatnosti</w:t>
            </w:r>
          </w:p>
        </w:tc>
        <w:tc>
          <w:tcPr>
            <w:tcW w:w="1420" w:type="dxa"/>
            <w:gridSpan w:val="2"/>
            <w:tcBorders>
              <w:top w:val="single" w:sz="4" w:space="0" w:color="D9D9D9"/>
              <w:left w:val="nil"/>
              <w:bottom w:val="single" w:sz="4" w:space="0" w:color="D9D9D9"/>
              <w:right w:val="nil"/>
            </w:tcBorders>
            <w:shd w:val="clear" w:color="000000" w:fill="FFFFFF"/>
            <w:noWrap/>
            <w:hideMark/>
          </w:tcPr>
          <w:p w14:paraId="623935A8" w14:textId="34867925" w:rsidR="00FD6C1D" w:rsidRPr="009C6D5F" w:rsidRDefault="00FD6C1D" w:rsidP="00FD6C1D">
            <w:pPr>
              <w:spacing w:after="0" w:line="240" w:lineRule="auto"/>
              <w:jc w:val="center"/>
              <w:rPr>
                <w:rFonts w:ascii="Arial" w:hAnsi="Arial" w:cs="Arial"/>
                <w:color w:val="000000" w:themeColor="text1"/>
                <w:sz w:val="18"/>
                <w:szCs w:val="18"/>
              </w:rPr>
            </w:pPr>
            <w:r w:rsidRPr="001B7308">
              <w:t>67 095</w:t>
            </w:r>
          </w:p>
        </w:tc>
        <w:tc>
          <w:tcPr>
            <w:tcW w:w="995" w:type="dxa"/>
            <w:tcBorders>
              <w:top w:val="single" w:sz="4" w:space="0" w:color="D9D9D9"/>
              <w:left w:val="nil"/>
              <w:bottom w:val="single" w:sz="4" w:space="0" w:color="D9D9D9"/>
              <w:right w:val="nil"/>
            </w:tcBorders>
            <w:shd w:val="clear" w:color="000000" w:fill="FFFFFF"/>
            <w:noWrap/>
            <w:hideMark/>
          </w:tcPr>
          <w:p w14:paraId="47CC682A" w14:textId="78D94060" w:rsidR="00FD6C1D" w:rsidRPr="009C6D5F" w:rsidRDefault="00FD6C1D" w:rsidP="00FD6C1D">
            <w:pPr>
              <w:spacing w:after="0" w:line="240" w:lineRule="auto"/>
              <w:jc w:val="center"/>
              <w:rPr>
                <w:rFonts w:ascii="Arial" w:hAnsi="Arial" w:cs="Arial"/>
                <w:color w:val="000000" w:themeColor="text1"/>
                <w:sz w:val="18"/>
                <w:szCs w:val="18"/>
              </w:rPr>
            </w:pPr>
            <w:r w:rsidRPr="001B7308">
              <w:t>283</w:t>
            </w:r>
          </w:p>
        </w:tc>
      </w:tr>
      <w:tr w:rsidR="00FD6C1D" w:rsidRPr="00B13FC6" w14:paraId="36FEE721" w14:textId="77777777" w:rsidTr="00D6189F">
        <w:trPr>
          <w:trHeight w:val="225"/>
        </w:trPr>
        <w:tc>
          <w:tcPr>
            <w:tcW w:w="885" w:type="dxa"/>
            <w:tcBorders>
              <w:top w:val="nil"/>
              <w:left w:val="nil"/>
              <w:bottom w:val="single" w:sz="4" w:space="0" w:color="auto"/>
              <w:right w:val="nil"/>
            </w:tcBorders>
            <w:shd w:val="clear" w:color="000000" w:fill="FFFFFF"/>
          </w:tcPr>
          <w:p w14:paraId="3CB90DB5" w14:textId="77777777" w:rsidR="00FD6C1D" w:rsidRPr="009C6D5F" w:rsidRDefault="00FD6C1D" w:rsidP="00FD6C1D">
            <w:pPr>
              <w:spacing w:after="0" w:line="240" w:lineRule="auto"/>
              <w:rPr>
                <w:rFonts w:ascii="Arial" w:eastAsia="Times New Roman" w:hAnsi="Arial" w:cs="Arial"/>
                <w:color w:val="000000" w:themeColor="text1"/>
                <w:sz w:val="18"/>
                <w:szCs w:val="18"/>
              </w:rPr>
            </w:pPr>
          </w:p>
        </w:tc>
        <w:tc>
          <w:tcPr>
            <w:tcW w:w="6657" w:type="dxa"/>
            <w:gridSpan w:val="6"/>
            <w:tcBorders>
              <w:top w:val="nil"/>
              <w:left w:val="nil"/>
              <w:bottom w:val="single" w:sz="4" w:space="0" w:color="auto"/>
              <w:right w:val="nil"/>
            </w:tcBorders>
            <w:shd w:val="clear" w:color="000000" w:fill="FFFFFF"/>
            <w:noWrap/>
            <w:vAlign w:val="bottom"/>
            <w:hideMark/>
          </w:tcPr>
          <w:p w14:paraId="2935E4D7" w14:textId="65DBCFA0" w:rsidR="00FD6C1D" w:rsidRPr="009C6D5F" w:rsidRDefault="00FD6C1D" w:rsidP="00FD6C1D">
            <w:pPr>
              <w:spacing w:after="0" w:line="240" w:lineRule="auto"/>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 xml:space="preserve">   opravné položky</w:t>
            </w:r>
          </w:p>
        </w:tc>
        <w:tc>
          <w:tcPr>
            <w:tcW w:w="1420" w:type="dxa"/>
            <w:gridSpan w:val="2"/>
            <w:tcBorders>
              <w:top w:val="nil"/>
              <w:left w:val="nil"/>
              <w:bottom w:val="single" w:sz="4" w:space="0" w:color="auto"/>
              <w:right w:val="nil"/>
            </w:tcBorders>
            <w:shd w:val="clear" w:color="000000" w:fill="FFFFFF"/>
            <w:noWrap/>
            <w:hideMark/>
          </w:tcPr>
          <w:p w14:paraId="1398E25A" w14:textId="0A79D42C" w:rsidR="00FD6C1D" w:rsidRPr="009C6D5F" w:rsidRDefault="00FD6C1D" w:rsidP="00FD6C1D">
            <w:pPr>
              <w:spacing w:after="0" w:line="240" w:lineRule="auto"/>
              <w:jc w:val="center"/>
              <w:rPr>
                <w:rFonts w:ascii="Arial" w:hAnsi="Arial" w:cs="Arial"/>
                <w:color w:val="000000" w:themeColor="text1"/>
                <w:sz w:val="18"/>
                <w:szCs w:val="18"/>
              </w:rPr>
            </w:pPr>
            <w:r w:rsidRPr="001B7308">
              <w:t>38 788</w:t>
            </w:r>
          </w:p>
        </w:tc>
        <w:tc>
          <w:tcPr>
            <w:tcW w:w="995" w:type="dxa"/>
            <w:tcBorders>
              <w:top w:val="nil"/>
              <w:left w:val="nil"/>
              <w:bottom w:val="single" w:sz="4" w:space="0" w:color="auto"/>
              <w:right w:val="nil"/>
            </w:tcBorders>
            <w:shd w:val="clear" w:color="000000" w:fill="FFFFFF"/>
            <w:noWrap/>
            <w:hideMark/>
          </w:tcPr>
          <w:p w14:paraId="6B304CCB" w14:textId="26F801D3" w:rsidR="00FD6C1D" w:rsidRPr="00AC2D1C" w:rsidRDefault="00FD6C1D" w:rsidP="00FD6C1D">
            <w:pPr>
              <w:spacing w:after="0" w:line="240" w:lineRule="auto"/>
              <w:jc w:val="center"/>
              <w:rPr>
                <w:rFonts w:ascii="Arial" w:hAnsi="Arial" w:cs="Arial"/>
                <w:color w:val="000000" w:themeColor="text1"/>
                <w:sz w:val="18"/>
                <w:szCs w:val="18"/>
              </w:rPr>
            </w:pPr>
            <w:r w:rsidRPr="001B7308">
              <w:t>130</w:t>
            </w:r>
          </w:p>
        </w:tc>
      </w:tr>
    </w:tbl>
    <w:p w14:paraId="564A295F" w14:textId="77777777" w:rsidR="00C60CC2" w:rsidRPr="00B13FC6" w:rsidRDefault="00C60CC2" w:rsidP="00C60CC2">
      <w:pPr>
        <w:pStyle w:val="ListParagraph"/>
        <w:ind w:left="567" w:right="-426"/>
        <w:rPr>
          <w:rFonts w:ascii="Arial" w:hAnsi="Arial" w:cs="Arial"/>
          <w:b/>
          <w:color w:val="000000" w:themeColor="text1"/>
          <w:sz w:val="20"/>
          <w:szCs w:val="20"/>
        </w:rPr>
      </w:pPr>
    </w:p>
    <w:p w14:paraId="76221247" w14:textId="7AE5E3DB" w:rsidR="00C60CC2" w:rsidRPr="00B71B35" w:rsidRDefault="00203B1A" w:rsidP="007D4D7C">
      <w:pPr>
        <w:pStyle w:val="ListParagraph"/>
        <w:numPr>
          <w:ilvl w:val="0"/>
          <w:numId w:val="37"/>
        </w:numPr>
        <w:jc w:val="both"/>
        <w:rPr>
          <w:rFonts w:ascii="Arial" w:hAnsi="Arial" w:cs="Arial"/>
          <w:b/>
          <w:color w:val="000000" w:themeColor="text1"/>
          <w:sz w:val="20"/>
          <w:szCs w:val="20"/>
        </w:rPr>
      </w:pPr>
      <w:r w:rsidRPr="00B71B35">
        <w:rPr>
          <w:rFonts w:ascii="Arial" w:hAnsi="Arial" w:cs="Arial"/>
          <w:b/>
          <w:color w:val="000000" w:themeColor="text1"/>
          <w:sz w:val="20"/>
          <w:szCs w:val="20"/>
        </w:rPr>
        <w:t>zosúladenie zmien v úpravách ocenenia expozícií so zníženou hodnotou a tvorby a</w:t>
      </w:r>
      <w:r w:rsidR="00075FD1" w:rsidRPr="00B71B35">
        <w:rPr>
          <w:rFonts w:ascii="Arial" w:hAnsi="Arial" w:cs="Arial"/>
          <w:b/>
          <w:color w:val="000000" w:themeColor="text1"/>
          <w:sz w:val="20"/>
          <w:szCs w:val="20"/>
        </w:rPr>
        <w:t xml:space="preserve">1 ods. </w:t>
      </w:r>
      <w:r w:rsidRPr="00B71B35">
        <w:rPr>
          <w:rFonts w:ascii="Arial" w:hAnsi="Arial" w:cs="Arial"/>
          <w:b/>
          <w:color w:val="000000" w:themeColor="text1"/>
          <w:sz w:val="20"/>
          <w:szCs w:val="20"/>
        </w:rPr>
        <w:t xml:space="preserve"> rušenia rezerv k expozíciám so zníženou hodnotou</w:t>
      </w:r>
    </w:p>
    <w:tbl>
      <w:tblPr>
        <w:tblW w:w="9840" w:type="dxa"/>
        <w:tblCellMar>
          <w:left w:w="70" w:type="dxa"/>
          <w:right w:w="70" w:type="dxa"/>
        </w:tblCellMar>
        <w:tblLook w:val="04A0" w:firstRow="1" w:lastRow="0" w:firstColumn="1" w:lastColumn="0" w:noHBand="0" w:noVBand="1"/>
      </w:tblPr>
      <w:tblGrid>
        <w:gridCol w:w="2460"/>
        <w:gridCol w:w="960"/>
        <w:gridCol w:w="2340"/>
        <w:gridCol w:w="720"/>
        <w:gridCol w:w="740"/>
        <w:gridCol w:w="1160"/>
        <w:gridCol w:w="380"/>
        <w:gridCol w:w="1080"/>
      </w:tblGrid>
      <w:tr w:rsidR="00203B1A" w:rsidRPr="00B13FC6" w14:paraId="4425AA82" w14:textId="77777777" w:rsidTr="00203B1A">
        <w:trPr>
          <w:trHeight w:val="240"/>
        </w:trPr>
        <w:tc>
          <w:tcPr>
            <w:tcW w:w="9840" w:type="dxa"/>
            <w:gridSpan w:val="8"/>
            <w:tcBorders>
              <w:top w:val="single" w:sz="4" w:space="0" w:color="auto"/>
              <w:left w:val="nil"/>
              <w:bottom w:val="single" w:sz="4" w:space="0" w:color="auto"/>
              <w:right w:val="nil"/>
            </w:tcBorders>
            <w:shd w:val="clear" w:color="000000" w:fill="FFFFFF"/>
            <w:vAlign w:val="bottom"/>
            <w:hideMark/>
          </w:tcPr>
          <w:p w14:paraId="737AAC01"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opis úpravy ocenenia a tvorby a rušenia rezerv - uvedené v §1 ods. (12 písm. b)</w:t>
            </w:r>
          </w:p>
        </w:tc>
      </w:tr>
      <w:tr w:rsidR="00203B1A" w:rsidRPr="00B13FC6" w14:paraId="705F5DAA" w14:textId="77777777" w:rsidTr="00203B1A">
        <w:trPr>
          <w:trHeight w:val="240"/>
        </w:trPr>
        <w:tc>
          <w:tcPr>
            <w:tcW w:w="2460" w:type="dxa"/>
            <w:tcBorders>
              <w:top w:val="nil"/>
              <w:left w:val="nil"/>
              <w:bottom w:val="nil"/>
              <w:right w:val="nil"/>
            </w:tcBorders>
            <w:shd w:val="clear" w:color="000000" w:fill="FFFFFF"/>
            <w:vAlign w:val="bottom"/>
            <w:hideMark/>
          </w:tcPr>
          <w:p w14:paraId="740B18B6"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960" w:type="dxa"/>
            <w:tcBorders>
              <w:top w:val="nil"/>
              <w:left w:val="nil"/>
              <w:bottom w:val="nil"/>
              <w:right w:val="nil"/>
            </w:tcBorders>
            <w:shd w:val="clear" w:color="000000" w:fill="FFFFFF"/>
            <w:vAlign w:val="bottom"/>
            <w:hideMark/>
          </w:tcPr>
          <w:p w14:paraId="68BFF600"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2340" w:type="dxa"/>
            <w:tcBorders>
              <w:top w:val="nil"/>
              <w:left w:val="nil"/>
              <w:bottom w:val="nil"/>
              <w:right w:val="nil"/>
            </w:tcBorders>
            <w:shd w:val="clear" w:color="000000" w:fill="FFFFFF"/>
            <w:vAlign w:val="bottom"/>
            <w:hideMark/>
          </w:tcPr>
          <w:p w14:paraId="274D4FD1"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720" w:type="dxa"/>
            <w:tcBorders>
              <w:top w:val="nil"/>
              <w:left w:val="nil"/>
              <w:bottom w:val="nil"/>
              <w:right w:val="nil"/>
            </w:tcBorders>
            <w:shd w:val="clear" w:color="000000" w:fill="FFFFFF"/>
            <w:vAlign w:val="bottom"/>
            <w:hideMark/>
          </w:tcPr>
          <w:p w14:paraId="5BFBDB64"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740" w:type="dxa"/>
            <w:tcBorders>
              <w:top w:val="nil"/>
              <w:left w:val="nil"/>
              <w:bottom w:val="nil"/>
              <w:right w:val="nil"/>
            </w:tcBorders>
            <w:shd w:val="clear" w:color="000000" w:fill="FFFFFF"/>
            <w:vAlign w:val="bottom"/>
            <w:hideMark/>
          </w:tcPr>
          <w:p w14:paraId="681C7CB1"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1160" w:type="dxa"/>
            <w:tcBorders>
              <w:top w:val="nil"/>
              <w:left w:val="nil"/>
              <w:bottom w:val="nil"/>
              <w:right w:val="nil"/>
            </w:tcBorders>
            <w:shd w:val="clear" w:color="000000" w:fill="FFFFFF"/>
            <w:vAlign w:val="bottom"/>
            <w:hideMark/>
          </w:tcPr>
          <w:p w14:paraId="27E88BB0"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380" w:type="dxa"/>
            <w:tcBorders>
              <w:top w:val="nil"/>
              <w:left w:val="nil"/>
              <w:bottom w:val="nil"/>
              <w:right w:val="nil"/>
            </w:tcBorders>
            <w:shd w:val="clear" w:color="000000" w:fill="FFFFFF"/>
            <w:vAlign w:val="bottom"/>
            <w:hideMark/>
          </w:tcPr>
          <w:p w14:paraId="1F439C4E"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1080" w:type="dxa"/>
            <w:tcBorders>
              <w:top w:val="nil"/>
              <w:left w:val="nil"/>
              <w:bottom w:val="nil"/>
              <w:right w:val="nil"/>
            </w:tcBorders>
            <w:shd w:val="clear" w:color="000000" w:fill="FFFFFF"/>
            <w:vAlign w:val="bottom"/>
            <w:hideMark/>
          </w:tcPr>
          <w:p w14:paraId="7FD02D1B" w14:textId="77777777" w:rsidR="00203B1A" w:rsidRPr="00B13FC6" w:rsidRDefault="00203B1A" w:rsidP="00203B1A">
            <w:pPr>
              <w:spacing w:after="0" w:line="240" w:lineRule="auto"/>
              <w:jc w:val="right"/>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v tis. EUR</w:t>
            </w:r>
          </w:p>
        </w:tc>
      </w:tr>
      <w:tr w:rsidR="00F81963" w:rsidRPr="00B13FC6" w14:paraId="1F80228D" w14:textId="77777777" w:rsidTr="00203B1A">
        <w:trPr>
          <w:trHeight w:val="240"/>
        </w:trPr>
        <w:tc>
          <w:tcPr>
            <w:tcW w:w="8760" w:type="dxa"/>
            <w:gridSpan w:val="7"/>
            <w:tcBorders>
              <w:top w:val="single" w:sz="4" w:space="0" w:color="auto"/>
              <w:left w:val="nil"/>
              <w:bottom w:val="nil"/>
              <w:right w:val="nil"/>
            </w:tcBorders>
            <w:shd w:val="clear" w:color="000000" w:fill="FFFFFF"/>
            <w:vAlign w:val="bottom"/>
            <w:hideMark/>
          </w:tcPr>
          <w:p w14:paraId="15994283" w14:textId="1C930DAA" w:rsidR="00F81963" w:rsidRPr="00B13FC6" w:rsidRDefault="00F81963" w:rsidP="00021F28">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počiatočný zostatok   k 1.1.20</w:t>
            </w:r>
            <w:r w:rsidR="00021F28" w:rsidRPr="00B13FC6">
              <w:rPr>
                <w:rFonts w:ascii="Arial" w:eastAsia="Times New Roman" w:hAnsi="Arial" w:cs="Arial"/>
                <w:color w:val="000000" w:themeColor="text1"/>
                <w:sz w:val="18"/>
                <w:szCs w:val="18"/>
              </w:rPr>
              <w:t>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single" w:sz="4" w:space="0" w:color="auto"/>
              <w:left w:val="nil"/>
              <w:bottom w:val="nil"/>
              <w:right w:val="nil"/>
            </w:tcBorders>
            <w:shd w:val="clear" w:color="000000" w:fill="FFFFFF"/>
            <w:vAlign w:val="bottom"/>
            <w:hideMark/>
          </w:tcPr>
          <w:p w14:paraId="339969E4" w14:textId="78C1861B" w:rsidR="00F81963" w:rsidRPr="00B13FC6" w:rsidRDefault="00B71B35" w:rsidP="00F81963">
            <w:pPr>
              <w:spacing w:after="0" w:line="240" w:lineRule="auto"/>
              <w:jc w:val="right"/>
              <w:rPr>
                <w:rFonts w:ascii="Arial" w:eastAsia="Times New Roman" w:hAnsi="Arial" w:cs="Arial"/>
                <w:color w:val="000000" w:themeColor="text1"/>
                <w:sz w:val="18"/>
                <w:szCs w:val="18"/>
              </w:rPr>
            </w:pPr>
            <w:r>
              <w:rPr>
                <w:rFonts w:ascii="Arial" w:hAnsi="Arial" w:cs="Arial"/>
                <w:color w:val="000000" w:themeColor="text1"/>
                <w:sz w:val="18"/>
                <w:szCs w:val="18"/>
              </w:rPr>
              <w:t>67 833</w:t>
            </w:r>
          </w:p>
        </w:tc>
      </w:tr>
      <w:tr w:rsidR="00F81963" w:rsidRPr="00B13FC6" w14:paraId="36DAE0AE" w14:textId="77777777" w:rsidTr="00203B1A">
        <w:trPr>
          <w:trHeight w:val="240"/>
        </w:trPr>
        <w:tc>
          <w:tcPr>
            <w:tcW w:w="8760" w:type="dxa"/>
            <w:gridSpan w:val="7"/>
            <w:tcBorders>
              <w:top w:val="single" w:sz="4" w:space="0" w:color="D9D9D9"/>
              <w:left w:val="nil"/>
              <w:bottom w:val="single" w:sz="4" w:space="0" w:color="D9D9D9"/>
              <w:right w:val="nil"/>
            </w:tcBorders>
            <w:shd w:val="clear" w:color="000000" w:fill="FFFFFF"/>
            <w:vAlign w:val="bottom"/>
            <w:hideMark/>
          </w:tcPr>
          <w:p w14:paraId="11BA4315" w14:textId="536840CF" w:rsidR="00F81963" w:rsidRPr="00B13FC6" w:rsidRDefault="00F81963" w:rsidP="00614A3E">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súhrnná výška vytvorených OP a</w:t>
            </w:r>
            <w:r w:rsidR="00BE6259">
              <w:rPr>
                <w:rFonts w:ascii="Arial" w:eastAsia="Times New Roman" w:hAnsi="Arial" w:cs="Arial"/>
                <w:color w:val="000000" w:themeColor="text1"/>
                <w:sz w:val="18"/>
                <w:szCs w:val="18"/>
              </w:rPr>
              <w:t> </w:t>
            </w:r>
            <w:r w:rsidRPr="00B13FC6">
              <w:rPr>
                <w:rFonts w:ascii="Arial" w:eastAsia="Times New Roman" w:hAnsi="Arial" w:cs="Arial"/>
                <w:color w:val="000000" w:themeColor="text1"/>
                <w:sz w:val="18"/>
                <w:szCs w:val="18"/>
              </w:rPr>
              <w:t>rezerv</w:t>
            </w:r>
            <w:r w:rsidR="00614A3E">
              <w:rPr>
                <w:rFonts w:ascii="Arial" w:eastAsia="Times New Roman" w:hAnsi="Arial" w:cs="Arial"/>
                <w:color w:val="000000" w:themeColor="text1"/>
                <w:sz w:val="18"/>
                <w:szCs w:val="18"/>
              </w:rPr>
              <w:t xml:space="preserve"> k 31</w:t>
            </w:r>
            <w:r w:rsidR="00BE6259">
              <w:rPr>
                <w:rFonts w:ascii="Arial" w:eastAsia="Times New Roman" w:hAnsi="Arial" w:cs="Arial"/>
                <w:color w:val="000000" w:themeColor="text1"/>
                <w:sz w:val="18"/>
                <w:szCs w:val="18"/>
              </w:rPr>
              <w:t>.</w:t>
            </w:r>
            <w:r w:rsidR="00573828">
              <w:rPr>
                <w:rFonts w:ascii="Arial" w:eastAsia="Times New Roman" w:hAnsi="Arial" w:cs="Arial"/>
                <w:color w:val="000000" w:themeColor="text1"/>
                <w:sz w:val="18"/>
                <w:szCs w:val="18"/>
              </w:rPr>
              <w:t>03</w:t>
            </w:r>
            <w:r w:rsidR="00BE6259">
              <w:rPr>
                <w:rFonts w:ascii="Arial" w:eastAsia="Times New Roman" w:hAnsi="Arial" w:cs="Arial"/>
                <w:color w:val="000000" w:themeColor="text1"/>
                <w:sz w:val="18"/>
                <w:szCs w:val="18"/>
              </w:rPr>
              <w:t>.202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single" w:sz="4" w:space="0" w:color="D9D9D9"/>
              <w:left w:val="nil"/>
              <w:bottom w:val="single" w:sz="4" w:space="0" w:color="D9D9D9"/>
              <w:right w:val="nil"/>
            </w:tcBorders>
            <w:shd w:val="clear" w:color="000000" w:fill="FFFFFF"/>
            <w:vAlign w:val="bottom"/>
            <w:hideMark/>
          </w:tcPr>
          <w:p w14:paraId="31AC3786" w14:textId="2249B1D3" w:rsidR="00F81963" w:rsidRPr="00B13FC6" w:rsidRDefault="00B71B35" w:rsidP="00F81963">
            <w:pPr>
              <w:spacing w:after="0" w:line="240" w:lineRule="auto"/>
              <w:jc w:val="right"/>
              <w:rPr>
                <w:rFonts w:ascii="Arial" w:eastAsia="Times New Roman" w:hAnsi="Arial" w:cs="Arial"/>
                <w:color w:val="000000" w:themeColor="text1"/>
                <w:sz w:val="18"/>
                <w:szCs w:val="18"/>
              </w:rPr>
            </w:pPr>
            <w:r>
              <w:rPr>
                <w:rFonts w:ascii="Arial" w:hAnsi="Arial" w:cs="Arial"/>
                <w:color w:val="000000" w:themeColor="text1"/>
                <w:sz w:val="18"/>
                <w:szCs w:val="18"/>
              </w:rPr>
              <w:t>10 533</w:t>
            </w:r>
          </w:p>
        </w:tc>
      </w:tr>
      <w:tr w:rsidR="00021F28" w:rsidRPr="00B13FC6" w14:paraId="1E55BB46" w14:textId="77777777" w:rsidTr="00203B1A">
        <w:trPr>
          <w:trHeight w:val="240"/>
        </w:trPr>
        <w:tc>
          <w:tcPr>
            <w:tcW w:w="8760" w:type="dxa"/>
            <w:gridSpan w:val="7"/>
            <w:tcBorders>
              <w:top w:val="single" w:sz="4" w:space="0" w:color="D9D9D9"/>
              <w:left w:val="nil"/>
              <w:bottom w:val="single" w:sz="4" w:space="0" w:color="D9D9D9"/>
              <w:right w:val="nil"/>
            </w:tcBorders>
            <w:shd w:val="clear" w:color="000000" w:fill="FFFFFF"/>
            <w:vAlign w:val="bottom"/>
            <w:hideMark/>
          </w:tcPr>
          <w:p w14:paraId="05EA3441" w14:textId="068034F7" w:rsidR="00F81963" w:rsidRPr="00B13FC6" w:rsidRDefault="00F81963" w:rsidP="00614A3E">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xml:space="preserve">- súhrnná výška OP a rezerv zrušených </w:t>
            </w:r>
            <w:r w:rsidR="00614A3E">
              <w:rPr>
                <w:rFonts w:ascii="Arial" w:eastAsia="Times New Roman" w:hAnsi="Arial" w:cs="Arial"/>
                <w:color w:val="000000" w:themeColor="text1"/>
                <w:sz w:val="18"/>
                <w:szCs w:val="18"/>
              </w:rPr>
              <w:t>k 31</w:t>
            </w:r>
            <w:r w:rsidR="00BE6259">
              <w:rPr>
                <w:rFonts w:ascii="Arial" w:eastAsia="Times New Roman" w:hAnsi="Arial" w:cs="Arial"/>
                <w:color w:val="000000" w:themeColor="text1"/>
                <w:sz w:val="18"/>
                <w:szCs w:val="18"/>
              </w:rPr>
              <w:t>.</w:t>
            </w:r>
            <w:r w:rsidR="00573828">
              <w:rPr>
                <w:rFonts w:ascii="Arial" w:eastAsia="Times New Roman" w:hAnsi="Arial" w:cs="Arial"/>
                <w:color w:val="000000" w:themeColor="text1"/>
                <w:sz w:val="18"/>
                <w:szCs w:val="18"/>
              </w:rPr>
              <w:t>03</w:t>
            </w:r>
            <w:r w:rsidR="00BE6259">
              <w:rPr>
                <w:rFonts w:ascii="Arial" w:eastAsia="Times New Roman" w:hAnsi="Arial" w:cs="Arial"/>
                <w:color w:val="000000" w:themeColor="text1"/>
                <w:sz w:val="18"/>
                <w:szCs w:val="18"/>
              </w:rPr>
              <w:t>.202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single" w:sz="4" w:space="0" w:color="D9D9D9"/>
              <w:left w:val="nil"/>
              <w:bottom w:val="single" w:sz="4" w:space="0" w:color="D9D9D9"/>
              <w:right w:val="nil"/>
            </w:tcBorders>
            <w:shd w:val="clear" w:color="000000" w:fill="FFFFFF"/>
            <w:vAlign w:val="bottom"/>
            <w:hideMark/>
          </w:tcPr>
          <w:p w14:paraId="04E34835" w14:textId="1D0EFBA9" w:rsidR="00F81963" w:rsidRPr="00B13FC6" w:rsidRDefault="000238D9" w:rsidP="009C6D5F">
            <w:pPr>
              <w:spacing w:after="0" w:line="240" w:lineRule="auto"/>
              <w:jc w:val="right"/>
              <w:rPr>
                <w:rFonts w:ascii="Arial" w:eastAsia="Times New Roman" w:hAnsi="Arial" w:cs="Arial"/>
                <w:color w:val="000000" w:themeColor="text1"/>
                <w:sz w:val="18"/>
                <w:szCs w:val="18"/>
              </w:rPr>
            </w:pPr>
            <w:r w:rsidRPr="00B13FC6">
              <w:rPr>
                <w:rFonts w:ascii="Arial" w:hAnsi="Arial" w:cs="Arial"/>
                <w:color w:val="000000" w:themeColor="text1"/>
                <w:sz w:val="18"/>
                <w:szCs w:val="18"/>
              </w:rPr>
              <w:t>-</w:t>
            </w:r>
            <w:r w:rsidR="00B71B35">
              <w:rPr>
                <w:rFonts w:ascii="Arial" w:hAnsi="Arial" w:cs="Arial"/>
                <w:color w:val="000000" w:themeColor="text1"/>
                <w:sz w:val="18"/>
                <w:szCs w:val="18"/>
              </w:rPr>
              <w:t>11 170</w:t>
            </w:r>
          </w:p>
        </w:tc>
      </w:tr>
      <w:tr w:rsidR="00F81963" w:rsidRPr="00B13FC6" w14:paraId="77785401" w14:textId="77777777" w:rsidTr="00203B1A">
        <w:trPr>
          <w:trHeight w:val="240"/>
        </w:trPr>
        <w:tc>
          <w:tcPr>
            <w:tcW w:w="8760" w:type="dxa"/>
            <w:gridSpan w:val="7"/>
            <w:tcBorders>
              <w:top w:val="single" w:sz="4" w:space="0" w:color="D9D9D9"/>
              <w:left w:val="nil"/>
              <w:bottom w:val="single" w:sz="4" w:space="0" w:color="D9D9D9"/>
              <w:right w:val="nil"/>
            </w:tcBorders>
            <w:shd w:val="clear" w:color="000000" w:fill="FFFFFF"/>
            <w:vAlign w:val="bottom"/>
            <w:hideMark/>
          </w:tcPr>
          <w:p w14:paraId="59FE31BD" w14:textId="575B1B58" w:rsidR="00F81963" w:rsidRPr="00B13FC6" w:rsidRDefault="00F81963" w:rsidP="00614A3E">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xml:space="preserve">   - z toho súhrnná výška odpisov expozícií </w:t>
            </w:r>
            <w:r w:rsidR="00614A3E">
              <w:rPr>
                <w:rFonts w:ascii="Arial" w:eastAsia="Times New Roman" w:hAnsi="Arial" w:cs="Arial"/>
                <w:color w:val="000000" w:themeColor="text1"/>
                <w:sz w:val="18"/>
                <w:szCs w:val="18"/>
              </w:rPr>
              <w:t>k 31</w:t>
            </w:r>
            <w:r w:rsidR="00BE6259">
              <w:rPr>
                <w:rFonts w:ascii="Arial" w:eastAsia="Times New Roman" w:hAnsi="Arial" w:cs="Arial"/>
                <w:color w:val="000000" w:themeColor="text1"/>
                <w:sz w:val="18"/>
                <w:szCs w:val="18"/>
              </w:rPr>
              <w:t>.</w:t>
            </w:r>
            <w:r w:rsidR="00573828">
              <w:rPr>
                <w:rFonts w:ascii="Arial" w:eastAsia="Times New Roman" w:hAnsi="Arial" w:cs="Arial"/>
                <w:color w:val="000000" w:themeColor="text1"/>
                <w:sz w:val="18"/>
                <w:szCs w:val="18"/>
              </w:rPr>
              <w:t>03</w:t>
            </w:r>
            <w:r w:rsidR="00BE6259">
              <w:rPr>
                <w:rFonts w:ascii="Arial" w:eastAsia="Times New Roman" w:hAnsi="Arial" w:cs="Arial"/>
                <w:color w:val="000000" w:themeColor="text1"/>
                <w:sz w:val="18"/>
                <w:szCs w:val="18"/>
              </w:rPr>
              <w:t>.202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single" w:sz="4" w:space="0" w:color="D9D9D9"/>
              <w:left w:val="nil"/>
              <w:bottom w:val="single" w:sz="4" w:space="0" w:color="D9D9D9"/>
              <w:right w:val="nil"/>
            </w:tcBorders>
            <w:shd w:val="clear" w:color="000000" w:fill="FFFFFF"/>
            <w:vAlign w:val="bottom"/>
            <w:hideMark/>
          </w:tcPr>
          <w:p w14:paraId="07C6FA2D" w14:textId="40184094" w:rsidR="00F81963" w:rsidRPr="00B13FC6" w:rsidRDefault="009C6D5F" w:rsidP="00F81963">
            <w:pPr>
              <w:spacing w:after="0" w:line="240" w:lineRule="auto"/>
              <w:jc w:val="right"/>
              <w:rPr>
                <w:rFonts w:ascii="Arial" w:eastAsia="Times New Roman" w:hAnsi="Arial" w:cs="Arial"/>
                <w:color w:val="000000" w:themeColor="text1"/>
                <w:sz w:val="18"/>
                <w:szCs w:val="18"/>
              </w:rPr>
            </w:pPr>
            <w:r>
              <w:rPr>
                <w:rFonts w:ascii="Arial" w:hAnsi="Arial" w:cs="Arial"/>
                <w:color w:val="000000" w:themeColor="text1"/>
                <w:sz w:val="18"/>
                <w:szCs w:val="18"/>
              </w:rPr>
              <w:t>-</w:t>
            </w:r>
            <w:r w:rsidR="00B71B35">
              <w:rPr>
                <w:rFonts w:ascii="Arial" w:hAnsi="Arial" w:cs="Arial"/>
                <w:color w:val="000000" w:themeColor="text1"/>
                <w:sz w:val="18"/>
                <w:szCs w:val="18"/>
              </w:rPr>
              <w:t>3 589</w:t>
            </w:r>
          </w:p>
        </w:tc>
      </w:tr>
      <w:tr w:rsidR="00F81963" w:rsidRPr="00B13FC6" w14:paraId="33D5D243" w14:textId="77777777" w:rsidTr="00203B1A">
        <w:trPr>
          <w:trHeight w:val="240"/>
        </w:trPr>
        <w:tc>
          <w:tcPr>
            <w:tcW w:w="8760" w:type="dxa"/>
            <w:gridSpan w:val="7"/>
            <w:tcBorders>
              <w:top w:val="single" w:sz="4" w:space="0" w:color="D9D9D9"/>
              <w:left w:val="nil"/>
              <w:bottom w:val="single" w:sz="4" w:space="0" w:color="D9D9D9"/>
              <w:right w:val="nil"/>
            </w:tcBorders>
            <w:shd w:val="clear" w:color="000000" w:fill="FFFFFF"/>
            <w:vAlign w:val="bottom"/>
            <w:hideMark/>
          </w:tcPr>
          <w:p w14:paraId="5E3BAB63" w14:textId="77777777" w:rsidR="00F81963" w:rsidRPr="00B13FC6" w:rsidRDefault="00F81963" w:rsidP="00F8196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xml:space="preserve">- súhrnná výška ostatných úprav ocenenia z dôvodov kurzových rozdielov, kombinácií obchodných činností, akvizícií, predaja dcérskych spoločností, presunu medzi OP a rezervami za určené obdobie                 </w:t>
            </w:r>
          </w:p>
        </w:tc>
        <w:tc>
          <w:tcPr>
            <w:tcW w:w="1080" w:type="dxa"/>
            <w:tcBorders>
              <w:top w:val="single" w:sz="4" w:space="0" w:color="D9D9D9"/>
              <w:left w:val="nil"/>
              <w:bottom w:val="single" w:sz="4" w:space="0" w:color="D9D9D9"/>
              <w:right w:val="nil"/>
            </w:tcBorders>
            <w:shd w:val="clear" w:color="000000" w:fill="FFFFFF"/>
            <w:vAlign w:val="bottom"/>
            <w:hideMark/>
          </w:tcPr>
          <w:p w14:paraId="322AED13" w14:textId="1C3EE76E" w:rsidR="00F81963" w:rsidRPr="00B13FC6" w:rsidRDefault="000238D9" w:rsidP="000238D9">
            <w:pPr>
              <w:spacing w:after="0" w:line="240" w:lineRule="auto"/>
              <w:jc w:val="right"/>
              <w:rPr>
                <w:rFonts w:ascii="Arial" w:eastAsia="Times New Roman" w:hAnsi="Arial" w:cs="Arial"/>
                <w:color w:val="000000" w:themeColor="text1"/>
                <w:sz w:val="18"/>
                <w:szCs w:val="18"/>
              </w:rPr>
            </w:pPr>
            <w:r w:rsidRPr="00B13FC6">
              <w:rPr>
                <w:rFonts w:ascii="Arial" w:hAnsi="Arial" w:cs="Arial"/>
                <w:color w:val="000000" w:themeColor="text1"/>
                <w:sz w:val="18"/>
                <w:szCs w:val="18"/>
              </w:rPr>
              <w:t>-1</w:t>
            </w:r>
          </w:p>
        </w:tc>
      </w:tr>
      <w:tr w:rsidR="00021F28" w:rsidRPr="00B13FC6" w14:paraId="550FE7F3" w14:textId="77777777" w:rsidTr="00203B1A">
        <w:trPr>
          <w:trHeight w:val="450"/>
        </w:trPr>
        <w:tc>
          <w:tcPr>
            <w:tcW w:w="8760" w:type="dxa"/>
            <w:gridSpan w:val="7"/>
            <w:tcBorders>
              <w:top w:val="nil"/>
              <w:left w:val="nil"/>
              <w:bottom w:val="single" w:sz="4" w:space="0" w:color="auto"/>
              <w:right w:val="nil"/>
            </w:tcBorders>
            <w:shd w:val="clear" w:color="000000" w:fill="FFFFFF"/>
            <w:vAlign w:val="bottom"/>
            <w:hideMark/>
          </w:tcPr>
          <w:p w14:paraId="2CF01E72" w14:textId="4DF3A169" w:rsidR="00F81963" w:rsidRPr="00B13FC6" w:rsidRDefault="00F81963" w:rsidP="00614A3E">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xml:space="preserve">- konečný zostatok (úprava ocenenia, tvorba a rušenie rezerv, ktorých účtovanie sa premietlo priamo do výkazu ziskov a strát, sa uverejňujú osobitne) </w:t>
            </w:r>
            <w:r w:rsidR="00614A3E">
              <w:rPr>
                <w:rFonts w:ascii="Arial" w:eastAsia="Times New Roman" w:hAnsi="Arial" w:cs="Arial"/>
                <w:color w:val="000000" w:themeColor="text1"/>
                <w:sz w:val="18"/>
                <w:szCs w:val="18"/>
              </w:rPr>
              <w:t>k 31</w:t>
            </w:r>
            <w:r w:rsidR="00BE6259">
              <w:rPr>
                <w:rFonts w:ascii="Arial" w:eastAsia="Times New Roman" w:hAnsi="Arial" w:cs="Arial"/>
                <w:color w:val="000000" w:themeColor="text1"/>
                <w:sz w:val="18"/>
                <w:szCs w:val="18"/>
              </w:rPr>
              <w:t>.</w:t>
            </w:r>
            <w:r w:rsidR="00573828">
              <w:rPr>
                <w:rFonts w:ascii="Arial" w:eastAsia="Times New Roman" w:hAnsi="Arial" w:cs="Arial"/>
                <w:color w:val="000000" w:themeColor="text1"/>
                <w:sz w:val="18"/>
                <w:szCs w:val="18"/>
              </w:rPr>
              <w:t>03</w:t>
            </w:r>
            <w:r w:rsidR="00BE6259">
              <w:rPr>
                <w:rFonts w:ascii="Arial" w:eastAsia="Times New Roman" w:hAnsi="Arial" w:cs="Arial"/>
                <w:color w:val="000000" w:themeColor="text1"/>
                <w:sz w:val="18"/>
                <w:szCs w:val="18"/>
              </w:rPr>
              <w:t>.202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nil"/>
              <w:left w:val="nil"/>
              <w:bottom w:val="single" w:sz="4" w:space="0" w:color="auto"/>
              <w:right w:val="nil"/>
            </w:tcBorders>
            <w:shd w:val="clear" w:color="000000" w:fill="FFFFFF"/>
            <w:vAlign w:val="bottom"/>
            <w:hideMark/>
          </w:tcPr>
          <w:p w14:paraId="12CCC78B" w14:textId="2AB3A6B7" w:rsidR="00F81963" w:rsidRPr="00B13FC6" w:rsidRDefault="003331D6" w:rsidP="00BE6259">
            <w:pPr>
              <w:spacing w:after="0" w:line="240" w:lineRule="auto"/>
              <w:jc w:val="right"/>
              <w:rPr>
                <w:rFonts w:ascii="Arial" w:eastAsia="Times New Roman" w:hAnsi="Arial" w:cs="Arial"/>
                <w:color w:val="000000" w:themeColor="text1"/>
                <w:sz w:val="18"/>
                <w:szCs w:val="18"/>
              </w:rPr>
            </w:pPr>
            <w:r>
              <w:rPr>
                <w:rFonts w:ascii="Arial" w:hAnsi="Arial" w:cs="Arial"/>
                <w:color w:val="000000" w:themeColor="text1"/>
                <w:sz w:val="18"/>
                <w:szCs w:val="18"/>
              </w:rPr>
              <w:t xml:space="preserve">67 </w:t>
            </w:r>
            <w:r w:rsidR="00B71B35">
              <w:rPr>
                <w:rFonts w:ascii="Arial" w:hAnsi="Arial" w:cs="Arial"/>
                <w:color w:val="000000" w:themeColor="text1"/>
                <w:sz w:val="18"/>
                <w:szCs w:val="18"/>
              </w:rPr>
              <w:t>195</w:t>
            </w:r>
          </w:p>
        </w:tc>
      </w:tr>
    </w:tbl>
    <w:p w14:paraId="19091AB2" w14:textId="77777777" w:rsidR="00C60CC2" w:rsidRPr="00B13FC6" w:rsidRDefault="00C60CC2" w:rsidP="00C60CC2">
      <w:pPr>
        <w:ind w:right="-426"/>
        <w:jc w:val="center"/>
        <w:rPr>
          <w:rFonts w:ascii="Arial" w:hAnsi="Arial" w:cs="Arial"/>
          <w:b/>
          <w:color w:val="000000" w:themeColor="text1"/>
          <w:sz w:val="26"/>
          <w:szCs w:val="26"/>
        </w:rPr>
      </w:pPr>
    </w:p>
    <w:p w14:paraId="0D51E686" w14:textId="77777777" w:rsidR="0004749B" w:rsidRPr="00B13FC6" w:rsidRDefault="0004749B" w:rsidP="00C60CC2">
      <w:pPr>
        <w:ind w:right="-426"/>
        <w:jc w:val="center"/>
        <w:rPr>
          <w:rFonts w:ascii="Arial" w:hAnsi="Arial" w:cs="Arial"/>
          <w:b/>
          <w:sz w:val="26"/>
          <w:szCs w:val="26"/>
        </w:rPr>
      </w:pPr>
    </w:p>
    <w:p w14:paraId="1A055D93" w14:textId="5A6FC72B" w:rsidR="00D44AD8" w:rsidRDefault="00D44AD8" w:rsidP="00D44AD8">
      <w:pPr>
        <w:ind w:right="-426"/>
        <w:jc w:val="center"/>
        <w:rPr>
          <w:rFonts w:ascii="Arial" w:hAnsi="Arial" w:cs="Arial"/>
          <w:b/>
          <w:color w:val="000000" w:themeColor="text1"/>
          <w:sz w:val="26"/>
          <w:szCs w:val="26"/>
        </w:rPr>
      </w:pPr>
      <w:r w:rsidRPr="00B13FC6">
        <w:rPr>
          <w:rFonts w:ascii="Arial" w:hAnsi="Arial" w:cs="Arial"/>
          <w:b/>
          <w:color w:val="000000" w:themeColor="text1"/>
          <w:sz w:val="26"/>
          <w:szCs w:val="26"/>
        </w:rPr>
        <w:t>Článok 443 – Nezaťažené aktíva</w:t>
      </w:r>
    </w:p>
    <w:p w14:paraId="0D38AE24" w14:textId="77777777" w:rsidR="009C6D5F" w:rsidRPr="00B13FC6" w:rsidRDefault="009C6D5F" w:rsidP="00D44AD8">
      <w:pPr>
        <w:ind w:right="-426"/>
        <w:jc w:val="center"/>
        <w:rPr>
          <w:rFonts w:ascii="Arial" w:hAnsi="Arial" w:cs="Arial"/>
          <w:b/>
          <w:color w:val="000000" w:themeColor="text1"/>
          <w:sz w:val="26"/>
          <w:szCs w:val="26"/>
        </w:rPr>
      </w:pPr>
    </w:p>
    <w:p w14:paraId="5AE3A166" w14:textId="09F9C5DF" w:rsidR="00BA3439" w:rsidRPr="009C6D5F" w:rsidRDefault="00BA3439" w:rsidP="007D4D7C">
      <w:pPr>
        <w:jc w:val="both"/>
        <w:rPr>
          <w:rFonts w:ascii="Arial" w:hAnsi="Arial" w:cs="Arial"/>
          <w:color w:val="000000" w:themeColor="text1"/>
          <w:sz w:val="20"/>
          <w:szCs w:val="20"/>
        </w:rPr>
      </w:pPr>
      <w:r w:rsidRPr="009C6D5F">
        <w:rPr>
          <w:rFonts w:ascii="Arial" w:hAnsi="Arial" w:cs="Arial"/>
          <w:color w:val="000000" w:themeColor="text1"/>
          <w:sz w:val="20"/>
          <w:szCs w:val="20"/>
        </w:rPr>
        <w:t>Banka podľa stavu k </w:t>
      </w:r>
      <w:r w:rsidR="00E758CD" w:rsidRPr="009C6D5F">
        <w:rPr>
          <w:rFonts w:ascii="Arial" w:hAnsi="Arial" w:cs="Arial"/>
          <w:color w:val="000000" w:themeColor="text1"/>
          <w:sz w:val="20"/>
          <w:szCs w:val="20"/>
        </w:rPr>
        <w:t>3</w:t>
      </w:r>
      <w:r w:rsidR="002C57C8">
        <w:rPr>
          <w:rFonts w:ascii="Arial" w:hAnsi="Arial" w:cs="Arial"/>
          <w:color w:val="000000" w:themeColor="text1"/>
          <w:sz w:val="20"/>
          <w:szCs w:val="20"/>
        </w:rPr>
        <w:t>1</w:t>
      </w:r>
      <w:r w:rsidR="00E758CD" w:rsidRPr="009C6D5F">
        <w:rPr>
          <w:rFonts w:ascii="Arial" w:hAnsi="Arial" w:cs="Arial"/>
          <w:color w:val="000000" w:themeColor="text1"/>
          <w:sz w:val="20"/>
          <w:szCs w:val="20"/>
        </w:rPr>
        <w:t>.</w:t>
      </w:r>
      <w:r w:rsidR="00D96A99">
        <w:rPr>
          <w:rFonts w:ascii="Arial" w:hAnsi="Arial" w:cs="Arial"/>
          <w:color w:val="000000" w:themeColor="text1"/>
          <w:sz w:val="20"/>
          <w:szCs w:val="20"/>
        </w:rPr>
        <w:t>03</w:t>
      </w:r>
      <w:r w:rsidR="00E758CD" w:rsidRPr="009C6D5F">
        <w:rPr>
          <w:rFonts w:ascii="Arial" w:hAnsi="Arial" w:cs="Arial"/>
          <w:color w:val="000000" w:themeColor="text1"/>
          <w:sz w:val="20"/>
          <w:szCs w:val="20"/>
        </w:rPr>
        <w:t>.202</w:t>
      </w:r>
      <w:r w:rsidR="00D96A99">
        <w:rPr>
          <w:rFonts w:ascii="Arial" w:hAnsi="Arial" w:cs="Arial"/>
          <w:color w:val="000000" w:themeColor="text1"/>
          <w:sz w:val="20"/>
          <w:szCs w:val="20"/>
        </w:rPr>
        <w:t>1</w:t>
      </w:r>
      <w:r w:rsidRPr="009C6D5F">
        <w:rPr>
          <w:rFonts w:ascii="Arial" w:hAnsi="Arial" w:cs="Arial"/>
          <w:color w:val="000000" w:themeColor="text1"/>
          <w:sz w:val="20"/>
          <w:szCs w:val="20"/>
        </w:rPr>
        <w:t xml:space="preserve"> evidovala nasledovné zaťažené a nezaťažené aktíva vo svojom portfóliu:</w:t>
      </w:r>
    </w:p>
    <w:permStart w:id="1738694030" w:edGrp="everyone"/>
    <w:p w14:paraId="0A48E29B" w14:textId="503A1406" w:rsidR="009C6D5F" w:rsidRPr="00B13FC6" w:rsidRDefault="00C97EED" w:rsidP="00115939">
      <w:pPr>
        <w:ind w:right="-426"/>
        <w:rPr>
          <w:rFonts w:ascii="Arial" w:hAnsi="Arial" w:cs="Arial"/>
          <w:color w:val="2E74B5" w:themeColor="accent1" w:themeShade="BF"/>
          <w:sz w:val="20"/>
          <w:szCs w:val="20"/>
        </w:rPr>
      </w:pPr>
      <w:r>
        <w:rPr>
          <w:rFonts w:ascii="Arial" w:hAnsi="Arial" w:cs="Arial"/>
          <w:color w:val="2E74B5" w:themeColor="accent1" w:themeShade="BF"/>
          <w:sz w:val="20"/>
          <w:szCs w:val="20"/>
        </w:rPr>
        <w:object w:dxaOrig="1534" w:dyaOrig="991" w14:anchorId="56F4D8F4">
          <v:shape id="_x0000_i1029" type="#_x0000_t75" style="width:76.5pt;height:49.5pt" o:ole="">
            <v:imagedata r:id="rId19" o:title=""/>
          </v:shape>
          <o:OLEObject Type="Embed" ProgID="AcroExch.Document.DC" ShapeID="_x0000_i1029" DrawAspect="Icon" ObjectID="_1682488515" r:id="rId20"/>
        </w:object>
      </w:r>
      <w:permEnd w:id="1738694030"/>
    </w:p>
    <w:p w14:paraId="2D8D06E3" w14:textId="03C85FD8" w:rsidR="00BA3439" w:rsidRPr="00E902F2" w:rsidRDefault="00BA3439" w:rsidP="009C6D5F">
      <w:pPr>
        <w:ind w:right="-426"/>
        <w:jc w:val="center"/>
        <w:rPr>
          <w:rFonts w:ascii="Arial" w:hAnsi="Arial" w:cs="Arial"/>
          <w:b/>
          <w:color w:val="000000" w:themeColor="text1"/>
          <w:sz w:val="26"/>
          <w:szCs w:val="26"/>
        </w:rPr>
      </w:pPr>
      <w:r w:rsidRPr="00A460E6">
        <w:rPr>
          <w:rFonts w:ascii="Arial" w:hAnsi="Arial" w:cs="Arial"/>
          <w:b/>
          <w:color w:val="000000" w:themeColor="text1"/>
          <w:sz w:val="26"/>
          <w:szCs w:val="26"/>
        </w:rPr>
        <w:t>Článok 444 – Používanie ECAI</w:t>
      </w:r>
    </w:p>
    <w:p w14:paraId="164DF7C7" w14:textId="77777777" w:rsidR="00BA3439" w:rsidRPr="00E902F2" w:rsidRDefault="00BA3439" w:rsidP="00984DBF">
      <w:pPr>
        <w:pStyle w:val="ListParagraph"/>
        <w:numPr>
          <w:ilvl w:val="0"/>
          <w:numId w:val="22"/>
        </w:numPr>
        <w:ind w:left="567" w:hanging="501"/>
        <w:jc w:val="both"/>
        <w:rPr>
          <w:rFonts w:ascii="Arial" w:hAnsi="Arial" w:cs="Arial"/>
          <w:b/>
          <w:color w:val="000000" w:themeColor="text1"/>
          <w:sz w:val="20"/>
          <w:szCs w:val="20"/>
        </w:rPr>
      </w:pPr>
      <w:r w:rsidRPr="00E902F2">
        <w:rPr>
          <w:rFonts w:ascii="Arial" w:hAnsi="Arial" w:cs="Arial"/>
          <w:b/>
          <w:color w:val="000000" w:themeColor="text1"/>
          <w:sz w:val="20"/>
          <w:szCs w:val="20"/>
        </w:rPr>
        <w:t>Názvy nominovaných externých ratingových agentúr (ECAI) a agentúr na podporu exportu (ECA) a dôvody akýchkoľvek zmien</w:t>
      </w:r>
    </w:p>
    <w:p w14:paraId="48274171" w14:textId="77777777" w:rsidR="00BA3439" w:rsidRPr="00E902F2" w:rsidRDefault="00BA3439" w:rsidP="00BA3439">
      <w:pPr>
        <w:ind w:right="-426" w:firstLine="567"/>
        <w:rPr>
          <w:rFonts w:ascii="Arial" w:hAnsi="Arial" w:cs="Arial"/>
          <w:color w:val="000000" w:themeColor="text1"/>
          <w:sz w:val="20"/>
          <w:szCs w:val="20"/>
        </w:rPr>
      </w:pPr>
      <w:proofErr w:type="spellStart"/>
      <w:r w:rsidRPr="00E902F2">
        <w:rPr>
          <w:rFonts w:ascii="Arial" w:hAnsi="Arial" w:cs="Arial"/>
          <w:color w:val="000000" w:themeColor="text1"/>
          <w:sz w:val="20"/>
          <w:szCs w:val="20"/>
        </w:rPr>
        <w:t>Moody΄s</w:t>
      </w:r>
      <w:proofErr w:type="spellEnd"/>
      <w:r w:rsidRPr="00E902F2">
        <w:rPr>
          <w:rFonts w:ascii="Arial" w:hAnsi="Arial" w:cs="Arial"/>
          <w:color w:val="000000" w:themeColor="text1"/>
          <w:sz w:val="20"/>
          <w:szCs w:val="20"/>
        </w:rPr>
        <w:t xml:space="preserve">, Standard &amp; </w:t>
      </w:r>
      <w:proofErr w:type="spellStart"/>
      <w:r w:rsidRPr="00E902F2">
        <w:rPr>
          <w:rFonts w:ascii="Arial" w:hAnsi="Arial" w:cs="Arial"/>
          <w:color w:val="000000" w:themeColor="text1"/>
          <w:sz w:val="20"/>
          <w:szCs w:val="20"/>
        </w:rPr>
        <w:t>Poor΄s</w:t>
      </w:r>
      <w:proofErr w:type="spellEnd"/>
      <w:r w:rsidRPr="00E902F2">
        <w:rPr>
          <w:rFonts w:ascii="Arial" w:hAnsi="Arial" w:cs="Arial"/>
          <w:color w:val="000000" w:themeColor="text1"/>
          <w:sz w:val="20"/>
          <w:szCs w:val="20"/>
        </w:rPr>
        <w:t xml:space="preserve">, </w:t>
      </w:r>
      <w:proofErr w:type="spellStart"/>
      <w:r w:rsidRPr="00E902F2">
        <w:rPr>
          <w:rFonts w:ascii="Arial" w:hAnsi="Arial" w:cs="Arial"/>
          <w:color w:val="000000" w:themeColor="text1"/>
          <w:sz w:val="20"/>
          <w:szCs w:val="20"/>
        </w:rPr>
        <w:t>Fitch</w:t>
      </w:r>
      <w:proofErr w:type="spellEnd"/>
    </w:p>
    <w:p w14:paraId="25067614" w14:textId="77777777" w:rsidR="00BA3439" w:rsidRPr="00E902F2" w:rsidRDefault="00BA3439" w:rsidP="00BA3439">
      <w:pPr>
        <w:pStyle w:val="ListParagraph"/>
        <w:numPr>
          <w:ilvl w:val="0"/>
          <w:numId w:val="22"/>
        </w:numPr>
        <w:ind w:left="567" w:right="-426" w:hanging="501"/>
        <w:rPr>
          <w:rFonts w:ascii="Arial" w:hAnsi="Arial" w:cs="Arial"/>
          <w:b/>
          <w:color w:val="000000" w:themeColor="text1"/>
          <w:sz w:val="20"/>
          <w:szCs w:val="20"/>
        </w:rPr>
      </w:pPr>
      <w:r w:rsidRPr="00E902F2">
        <w:rPr>
          <w:rFonts w:ascii="Arial" w:hAnsi="Arial" w:cs="Arial"/>
          <w:b/>
          <w:color w:val="000000" w:themeColor="text1"/>
          <w:sz w:val="20"/>
          <w:szCs w:val="20"/>
        </w:rPr>
        <w:t>Triedy expozícií, pre ktoré sa použijú ECAI alebo ECA</w:t>
      </w:r>
    </w:p>
    <w:p w14:paraId="03EC9192" w14:textId="77777777" w:rsidR="00BA3439" w:rsidRPr="00E902F2" w:rsidRDefault="00BA3439" w:rsidP="00BA3439">
      <w:pPr>
        <w:ind w:left="567" w:right="-426"/>
        <w:rPr>
          <w:rFonts w:ascii="Arial" w:hAnsi="Arial" w:cs="Arial"/>
          <w:color w:val="000000" w:themeColor="text1"/>
          <w:sz w:val="20"/>
          <w:szCs w:val="20"/>
        </w:rPr>
      </w:pPr>
      <w:r w:rsidRPr="00E902F2">
        <w:rPr>
          <w:rFonts w:ascii="Arial" w:hAnsi="Arial" w:cs="Arial"/>
          <w:color w:val="000000" w:themeColor="text1"/>
          <w:sz w:val="20"/>
          <w:szCs w:val="20"/>
        </w:rPr>
        <w:t>ústredné vlády, centrálne banky a inštitúcie</w:t>
      </w:r>
    </w:p>
    <w:p w14:paraId="25993946" w14:textId="77777777" w:rsidR="00BA3439" w:rsidRPr="00E902F2" w:rsidRDefault="00BA3439" w:rsidP="00BA3439">
      <w:pPr>
        <w:pStyle w:val="ListParagraph"/>
        <w:rPr>
          <w:rFonts w:ascii="Arial" w:hAnsi="Arial" w:cs="Arial"/>
          <w:b/>
          <w:color w:val="000000" w:themeColor="text1"/>
          <w:sz w:val="20"/>
          <w:szCs w:val="20"/>
        </w:rPr>
      </w:pPr>
    </w:p>
    <w:p w14:paraId="023704DB" w14:textId="77777777" w:rsidR="00BA3439" w:rsidRPr="00A460E6" w:rsidRDefault="00BA3439" w:rsidP="00984DBF">
      <w:pPr>
        <w:pStyle w:val="ListParagraph"/>
        <w:numPr>
          <w:ilvl w:val="0"/>
          <w:numId w:val="22"/>
        </w:numPr>
        <w:ind w:left="567" w:hanging="501"/>
        <w:jc w:val="both"/>
        <w:rPr>
          <w:rFonts w:ascii="Arial" w:hAnsi="Arial" w:cs="Arial"/>
          <w:b/>
          <w:color w:val="000000" w:themeColor="text1"/>
          <w:sz w:val="20"/>
          <w:szCs w:val="20"/>
        </w:rPr>
      </w:pPr>
      <w:r w:rsidRPr="00A460E6">
        <w:rPr>
          <w:rFonts w:ascii="Arial" w:hAnsi="Arial" w:cs="Arial"/>
          <w:b/>
          <w:color w:val="000000" w:themeColor="text1"/>
          <w:sz w:val="20"/>
          <w:szCs w:val="20"/>
        </w:rPr>
        <w:t>Opis postupu, ktorý sa používa na prenos ratingového hodnotenia emitenta a emisií na položky, ktoré nie sú zahrnuté v obchodnej knihe</w:t>
      </w:r>
    </w:p>
    <w:p w14:paraId="13C1F18B" w14:textId="77777777" w:rsidR="00BA3439" w:rsidRPr="00A460E6" w:rsidRDefault="00BA3439" w:rsidP="00BA3439">
      <w:pPr>
        <w:ind w:right="-426" w:firstLine="567"/>
        <w:rPr>
          <w:rFonts w:ascii="Arial" w:hAnsi="Arial" w:cs="Arial"/>
          <w:color w:val="000000" w:themeColor="text1"/>
          <w:sz w:val="20"/>
          <w:szCs w:val="20"/>
        </w:rPr>
      </w:pPr>
      <w:r w:rsidRPr="00A460E6">
        <w:rPr>
          <w:rFonts w:ascii="Arial" w:hAnsi="Arial" w:cs="Arial"/>
          <w:color w:val="000000" w:themeColor="text1"/>
          <w:sz w:val="20"/>
          <w:szCs w:val="20"/>
        </w:rPr>
        <w:t>v zmysle platných predpisov a systému priradenia ratingu stupňom kreditnej kvality</w:t>
      </w:r>
    </w:p>
    <w:p w14:paraId="753273E0" w14:textId="77777777" w:rsidR="00BA3439" w:rsidRPr="00A460E6" w:rsidRDefault="00BA3439" w:rsidP="00984DBF">
      <w:pPr>
        <w:pStyle w:val="ListParagraph"/>
        <w:numPr>
          <w:ilvl w:val="0"/>
          <w:numId w:val="22"/>
        </w:numPr>
        <w:ind w:left="567" w:hanging="501"/>
        <w:jc w:val="both"/>
        <w:rPr>
          <w:rFonts w:ascii="Arial" w:hAnsi="Arial" w:cs="Arial"/>
          <w:b/>
          <w:color w:val="000000" w:themeColor="text1"/>
          <w:sz w:val="20"/>
          <w:szCs w:val="20"/>
        </w:rPr>
      </w:pPr>
      <w:r w:rsidRPr="00A460E6">
        <w:rPr>
          <w:rFonts w:ascii="Arial" w:hAnsi="Arial" w:cs="Arial"/>
          <w:b/>
          <w:color w:val="000000" w:themeColor="text1"/>
          <w:sz w:val="20"/>
          <w:szCs w:val="20"/>
        </w:rPr>
        <w:t>Priradenie externého ratingu od každej nominovanej ECAI alebo ECA do stupňa kreditnej kvality stanoveného v 3. časti hlave II kapitole 2 v zmysle osobitného predpisu - Štandardizovaný prístup (nemusí sa zverejniť, ak inštitúcia spĺňa štandardný spôsob priraďovania uverejnený EBA)</w:t>
      </w:r>
      <w:r w:rsidRPr="00A460E6">
        <w:rPr>
          <w:rFonts w:ascii="Arial" w:hAnsi="Arial" w:cs="Arial"/>
          <w:b/>
          <w:color w:val="000000" w:themeColor="text1"/>
          <w:sz w:val="26"/>
          <w:szCs w:val="26"/>
          <w:vertAlign w:val="superscript"/>
        </w:rPr>
        <w:t xml:space="preserve"> 1)</w:t>
      </w:r>
    </w:p>
    <w:tbl>
      <w:tblPr>
        <w:tblW w:w="9800" w:type="dxa"/>
        <w:tblInd w:w="55" w:type="dxa"/>
        <w:tblCellMar>
          <w:left w:w="70" w:type="dxa"/>
          <w:right w:w="70" w:type="dxa"/>
        </w:tblCellMar>
        <w:tblLook w:val="04A0" w:firstRow="1" w:lastRow="0" w:firstColumn="1" w:lastColumn="0" w:noHBand="0" w:noVBand="1"/>
      </w:tblPr>
      <w:tblGrid>
        <w:gridCol w:w="958"/>
        <w:gridCol w:w="2342"/>
        <w:gridCol w:w="929"/>
        <w:gridCol w:w="2271"/>
        <w:gridCol w:w="958"/>
        <w:gridCol w:w="2342"/>
      </w:tblGrid>
      <w:tr w:rsidR="00012836" w:rsidRPr="00E902F2" w14:paraId="66F6A4F4" w14:textId="77777777" w:rsidTr="00A02414">
        <w:trPr>
          <w:trHeight w:val="300"/>
        </w:trPr>
        <w:tc>
          <w:tcPr>
            <w:tcW w:w="3300" w:type="dxa"/>
            <w:gridSpan w:val="2"/>
            <w:tcBorders>
              <w:top w:val="single" w:sz="4" w:space="0" w:color="auto"/>
              <w:left w:val="single" w:sz="4" w:space="0" w:color="auto"/>
              <w:bottom w:val="nil"/>
              <w:right w:val="nil"/>
            </w:tcBorders>
            <w:shd w:val="clear" w:color="auto" w:fill="auto"/>
            <w:noWrap/>
            <w:vAlign w:val="bottom"/>
            <w:hideMark/>
          </w:tcPr>
          <w:p w14:paraId="7F2B9565" w14:textId="77777777" w:rsidR="00012836" w:rsidRPr="00E902F2" w:rsidRDefault="00012836" w:rsidP="00A02414">
            <w:pPr>
              <w:spacing w:after="0" w:line="240" w:lineRule="auto"/>
              <w:jc w:val="center"/>
              <w:rPr>
                <w:rFonts w:ascii="Arial" w:eastAsia="Times New Roman" w:hAnsi="Arial" w:cs="Arial"/>
                <w:b/>
                <w:bCs/>
                <w:sz w:val="20"/>
                <w:szCs w:val="20"/>
              </w:rPr>
            </w:pPr>
            <w:proofErr w:type="spellStart"/>
            <w:r w:rsidRPr="00E902F2">
              <w:rPr>
                <w:rFonts w:ascii="Arial" w:eastAsia="Times New Roman" w:hAnsi="Arial" w:cs="Arial"/>
                <w:b/>
                <w:bCs/>
                <w:sz w:val="20"/>
                <w:szCs w:val="20"/>
              </w:rPr>
              <w:t>Moody's</w:t>
            </w:r>
            <w:proofErr w:type="spellEnd"/>
          </w:p>
        </w:tc>
        <w:tc>
          <w:tcPr>
            <w:tcW w:w="32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460F4BD6" w14:textId="77777777" w:rsidR="00012836" w:rsidRPr="00E902F2" w:rsidRDefault="00012836" w:rsidP="00A02414">
            <w:pPr>
              <w:spacing w:after="0" w:line="240" w:lineRule="auto"/>
              <w:jc w:val="center"/>
              <w:rPr>
                <w:rFonts w:ascii="Arial" w:eastAsia="Times New Roman" w:hAnsi="Arial" w:cs="Arial"/>
                <w:b/>
                <w:bCs/>
                <w:sz w:val="20"/>
                <w:szCs w:val="20"/>
              </w:rPr>
            </w:pPr>
            <w:r w:rsidRPr="00E902F2">
              <w:rPr>
                <w:rFonts w:ascii="Arial" w:eastAsia="Times New Roman" w:hAnsi="Arial" w:cs="Arial"/>
                <w:b/>
                <w:bCs/>
                <w:sz w:val="20"/>
                <w:szCs w:val="20"/>
              </w:rPr>
              <w:t>S&amp;P</w:t>
            </w:r>
          </w:p>
        </w:tc>
        <w:tc>
          <w:tcPr>
            <w:tcW w:w="3300" w:type="dxa"/>
            <w:gridSpan w:val="2"/>
            <w:tcBorders>
              <w:top w:val="single" w:sz="4" w:space="0" w:color="auto"/>
              <w:left w:val="nil"/>
              <w:bottom w:val="nil"/>
              <w:right w:val="single" w:sz="4" w:space="0" w:color="000000"/>
            </w:tcBorders>
            <w:shd w:val="clear" w:color="auto" w:fill="auto"/>
            <w:noWrap/>
            <w:vAlign w:val="bottom"/>
            <w:hideMark/>
          </w:tcPr>
          <w:p w14:paraId="53DD2C3B" w14:textId="77777777" w:rsidR="00012836" w:rsidRPr="00E902F2" w:rsidRDefault="00012836" w:rsidP="00A02414">
            <w:pPr>
              <w:spacing w:after="0" w:line="240" w:lineRule="auto"/>
              <w:jc w:val="center"/>
              <w:rPr>
                <w:rFonts w:ascii="Arial" w:eastAsia="Times New Roman" w:hAnsi="Arial" w:cs="Arial"/>
                <w:b/>
                <w:bCs/>
                <w:sz w:val="20"/>
                <w:szCs w:val="20"/>
              </w:rPr>
            </w:pPr>
            <w:proofErr w:type="spellStart"/>
            <w:r w:rsidRPr="00E902F2">
              <w:rPr>
                <w:rFonts w:ascii="Arial" w:eastAsia="Times New Roman" w:hAnsi="Arial" w:cs="Arial"/>
                <w:b/>
                <w:bCs/>
                <w:sz w:val="20"/>
                <w:szCs w:val="20"/>
              </w:rPr>
              <w:t>Fitch</w:t>
            </w:r>
            <w:proofErr w:type="spellEnd"/>
          </w:p>
        </w:tc>
      </w:tr>
      <w:tr w:rsidR="00F74D89" w:rsidRPr="00E902F2" w14:paraId="38DBE3A1" w14:textId="77777777" w:rsidTr="00A02414">
        <w:trPr>
          <w:trHeight w:val="255"/>
        </w:trPr>
        <w:tc>
          <w:tcPr>
            <w:tcW w:w="958" w:type="dxa"/>
            <w:tcBorders>
              <w:top w:val="single" w:sz="4" w:space="0" w:color="auto"/>
              <w:left w:val="single" w:sz="4" w:space="0" w:color="auto"/>
              <w:bottom w:val="nil"/>
              <w:right w:val="single" w:sz="4" w:space="0" w:color="auto"/>
            </w:tcBorders>
            <w:shd w:val="clear" w:color="auto" w:fill="auto"/>
            <w:noWrap/>
            <w:vAlign w:val="bottom"/>
            <w:hideMark/>
          </w:tcPr>
          <w:p w14:paraId="1F231676" w14:textId="6DF9C16C" w:rsidR="00F74D89" w:rsidRPr="00E902F2" w:rsidRDefault="00F74D89" w:rsidP="00F74D89">
            <w:pPr>
              <w:spacing w:after="0" w:line="240" w:lineRule="auto"/>
              <w:rPr>
                <w:rFonts w:ascii="Arial" w:eastAsia="Times New Roman" w:hAnsi="Arial" w:cs="Arial"/>
                <w:b/>
                <w:bCs/>
                <w:sz w:val="18"/>
                <w:szCs w:val="18"/>
              </w:rPr>
            </w:pPr>
            <w:r w:rsidRPr="00E902F2">
              <w:rPr>
                <w:rFonts w:ascii="Arial" w:eastAsia="Times New Roman" w:hAnsi="Arial" w:cs="Arial"/>
                <w:b/>
                <w:bCs/>
                <w:sz w:val="18"/>
                <w:szCs w:val="18"/>
              </w:rPr>
              <w:t>Rating</w:t>
            </w:r>
          </w:p>
        </w:tc>
        <w:tc>
          <w:tcPr>
            <w:tcW w:w="2342" w:type="dxa"/>
            <w:tcBorders>
              <w:top w:val="single" w:sz="4" w:space="0" w:color="auto"/>
              <w:left w:val="nil"/>
              <w:bottom w:val="nil"/>
              <w:right w:val="nil"/>
            </w:tcBorders>
            <w:shd w:val="clear" w:color="auto" w:fill="auto"/>
            <w:noWrap/>
            <w:vAlign w:val="bottom"/>
            <w:hideMark/>
          </w:tcPr>
          <w:p w14:paraId="20215CF9" w14:textId="03D46732"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xml:space="preserve">Stupeň kreditnej </w:t>
            </w:r>
          </w:p>
        </w:tc>
        <w:tc>
          <w:tcPr>
            <w:tcW w:w="929" w:type="dxa"/>
            <w:tcBorders>
              <w:top w:val="single" w:sz="4" w:space="0" w:color="auto"/>
              <w:left w:val="single" w:sz="4" w:space="0" w:color="auto"/>
              <w:bottom w:val="nil"/>
              <w:right w:val="single" w:sz="4" w:space="0" w:color="auto"/>
            </w:tcBorders>
            <w:shd w:val="clear" w:color="auto" w:fill="auto"/>
            <w:noWrap/>
            <w:vAlign w:val="bottom"/>
            <w:hideMark/>
          </w:tcPr>
          <w:p w14:paraId="3AF88776" w14:textId="1CC4A36A"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Rating</w:t>
            </w:r>
          </w:p>
        </w:tc>
        <w:tc>
          <w:tcPr>
            <w:tcW w:w="2271" w:type="dxa"/>
            <w:tcBorders>
              <w:top w:val="single" w:sz="4" w:space="0" w:color="auto"/>
              <w:left w:val="nil"/>
              <w:bottom w:val="nil"/>
              <w:right w:val="single" w:sz="4" w:space="0" w:color="auto"/>
            </w:tcBorders>
            <w:shd w:val="clear" w:color="auto" w:fill="auto"/>
            <w:noWrap/>
            <w:vAlign w:val="bottom"/>
            <w:hideMark/>
          </w:tcPr>
          <w:p w14:paraId="6B718CE3" w14:textId="1544F081"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xml:space="preserve">Stupeň kreditnej </w:t>
            </w:r>
          </w:p>
        </w:tc>
        <w:tc>
          <w:tcPr>
            <w:tcW w:w="958" w:type="dxa"/>
            <w:tcBorders>
              <w:top w:val="single" w:sz="4" w:space="0" w:color="auto"/>
              <w:left w:val="nil"/>
              <w:bottom w:val="nil"/>
              <w:right w:val="nil"/>
            </w:tcBorders>
            <w:shd w:val="clear" w:color="auto" w:fill="auto"/>
            <w:noWrap/>
            <w:vAlign w:val="bottom"/>
            <w:hideMark/>
          </w:tcPr>
          <w:p w14:paraId="7E36C431" w14:textId="5E265FD2"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Rating</w:t>
            </w:r>
          </w:p>
        </w:tc>
        <w:tc>
          <w:tcPr>
            <w:tcW w:w="2342" w:type="dxa"/>
            <w:tcBorders>
              <w:top w:val="single" w:sz="4" w:space="0" w:color="auto"/>
              <w:left w:val="single" w:sz="4" w:space="0" w:color="auto"/>
              <w:bottom w:val="nil"/>
              <w:right w:val="single" w:sz="4" w:space="0" w:color="auto"/>
            </w:tcBorders>
            <w:shd w:val="clear" w:color="auto" w:fill="auto"/>
            <w:noWrap/>
            <w:vAlign w:val="bottom"/>
            <w:hideMark/>
          </w:tcPr>
          <w:p w14:paraId="16118304" w14:textId="31F3E9A2"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xml:space="preserve">Stupeň kreditnej </w:t>
            </w:r>
          </w:p>
        </w:tc>
      </w:tr>
      <w:tr w:rsidR="00F74D89" w:rsidRPr="00E902F2" w14:paraId="48119E3D" w14:textId="77777777" w:rsidTr="00A02414">
        <w:trPr>
          <w:trHeight w:val="270"/>
        </w:trPr>
        <w:tc>
          <w:tcPr>
            <w:tcW w:w="958" w:type="dxa"/>
            <w:tcBorders>
              <w:top w:val="nil"/>
              <w:left w:val="single" w:sz="4" w:space="0" w:color="auto"/>
              <w:bottom w:val="single" w:sz="8" w:space="0" w:color="auto"/>
              <w:right w:val="single" w:sz="4" w:space="0" w:color="auto"/>
            </w:tcBorders>
            <w:shd w:val="clear" w:color="auto" w:fill="auto"/>
            <w:noWrap/>
            <w:vAlign w:val="bottom"/>
            <w:hideMark/>
          </w:tcPr>
          <w:p w14:paraId="66B873A6" w14:textId="1A41B321" w:rsidR="00F74D89" w:rsidRPr="00E902F2" w:rsidRDefault="00F74D89" w:rsidP="00F74D89">
            <w:pPr>
              <w:spacing w:after="0" w:line="240" w:lineRule="auto"/>
              <w:rPr>
                <w:rFonts w:ascii="Arial" w:eastAsia="Times New Roman" w:hAnsi="Arial" w:cs="Arial"/>
                <w:b/>
                <w:bCs/>
                <w:sz w:val="18"/>
                <w:szCs w:val="18"/>
              </w:rPr>
            </w:pPr>
            <w:r w:rsidRPr="00E902F2">
              <w:rPr>
                <w:rFonts w:ascii="Arial" w:eastAsia="Times New Roman" w:hAnsi="Arial" w:cs="Arial"/>
                <w:b/>
                <w:bCs/>
                <w:sz w:val="18"/>
                <w:szCs w:val="18"/>
              </w:rPr>
              <w:t> </w:t>
            </w:r>
          </w:p>
        </w:tc>
        <w:tc>
          <w:tcPr>
            <w:tcW w:w="2342" w:type="dxa"/>
            <w:tcBorders>
              <w:top w:val="nil"/>
              <w:left w:val="nil"/>
              <w:bottom w:val="single" w:sz="8" w:space="0" w:color="auto"/>
              <w:right w:val="nil"/>
            </w:tcBorders>
            <w:shd w:val="clear" w:color="auto" w:fill="auto"/>
            <w:noWrap/>
            <w:vAlign w:val="bottom"/>
            <w:hideMark/>
          </w:tcPr>
          <w:p w14:paraId="4D39912E" w14:textId="39CAEE06"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Kvality</w:t>
            </w:r>
          </w:p>
        </w:tc>
        <w:tc>
          <w:tcPr>
            <w:tcW w:w="929" w:type="dxa"/>
            <w:tcBorders>
              <w:top w:val="nil"/>
              <w:left w:val="single" w:sz="4" w:space="0" w:color="auto"/>
              <w:bottom w:val="single" w:sz="8" w:space="0" w:color="auto"/>
              <w:right w:val="single" w:sz="4" w:space="0" w:color="auto"/>
            </w:tcBorders>
            <w:shd w:val="clear" w:color="auto" w:fill="auto"/>
            <w:noWrap/>
            <w:vAlign w:val="bottom"/>
            <w:hideMark/>
          </w:tcPr>
          <w:p w14:paraId="34835E70" w14:textId="3EE4A07D"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w:t>
            </w:r>
          </w:p>
        </w:tc>
        <w:tc>
          <w:tcPr>
            <w:tcW w:w="2271" w:type="dxa"/>
            <w:tcBorders>
              <w:top w:val="nil"/>
              <w:left w:val="nil"/>
              <w:bottom w:val="single" w:sz="8" w:space="0" w:color="auto"/>
              <w:right w:val="single" w:sz="4" w:space="0" w:color="auto"/>
            </w:tcBorders>
            <w:shd w:val="clear" w:color="auto" w:fill="auto"/>
            <w:noWrap/>
            <w:vAlign w:val="bottom"/>
            <w:hideMark/>
          </w:tcPr>
          <w:p w14:paraId="2ECAC887" w14:textId="2E978938"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Kvality</w:t>
            </w:r>
          </w:p>
        </w:tc>
        <w:tc>
          <w:tcPr>
            <w:tcW w:w="958" w:type="dxa"/>
            <w:tcBorders>
              <w:top w:val="nil"/>
              <w:left w:val="nil"/>
              <w:bottom w:val="single" w:sz="8" w:space="0" w:color="auto"/>
              <w:right w:val="nil"/>
            </w:tcBorders>
            <w:shd w:val="clear" w:color="auto" w:fill="auto"/>
            <w:noWrap/>
            <w:vAlign w:val="bottom"/>
            <w:hideMark/>
          </w:tcPr>
          <w:p w14:paraId="347BB4B7" w14:textId="4507F4C8"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w:t>
            </w:r>
          </w:p>
        </w:tc>
        <w:tc>
          <w:tcPr>
            <w:tcW w:w="2342" w:type="dxa"/>
            <w:tcBorders>
              <w:top w:val="nil"/>
              <w:left w:val="single" w:sz="4" w:space="0" w:color="auto"/>
              <w:bottom w:val="single" w:sz="8" w:space="0" w:color="auto"/>
              <w:right w:val="single" w:sz="4" w:space="0" w:color="auto"/>
            </w:tcBorders>
            <w:shd w:val="clear" w:color="auto" w:fill="auto"/>
            <w:noWrap/>
            <w:vAlign w:val="bottom"/>
            <w:hideMark/>
          </w:tcPr>
          <w:p w14:paraId="08D0A9E0" w14:textId="725C81E5"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Kvality</w:t>
            </w:r>
          </w:p>
        </w:tc>
      </w:tr>
      <w:tr w:rsidR="00F74D89" w:rsidRPr="00E902F2" w14:paraId="1B4FAF36"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66F055E9" w14:textId="528D5457" w:rsidR="00F74D89" w:rsidRPr="00E902F2" w:rsidRDefault="00F74D89" w:rsidP="00F74D89">
            <w:pPr>
              <w:spacing w:after="0" w:line="240" w:lineRule="auto"/>
              <w:jc w:val="center"/>
              <w:rPr>
                <w:rFonts w:ascii="Arial" w:eastAsia="Times New Roman" w:hAnsi="Arial" w:cs="Arial"/>
                <w:sz w:val="20"/>
                <w:szCs w:val="20"/>
              </w:rPr>
            </w:pPr>
            <w:proofErr w:type="spellStart"/>
            <w:r w:rsidRPr="00E902F2">
              <w:rPr>
                <w:rFonts w:ascii="Arial" w:eastAsia="Times New Roman" w:hAnsi="Arial" w:cs="Arial"/>
                <w:sz w:val="20"/>
                <w:szCs w:val="20"/>
              </w:rPr>
              <w:t>Aaa</w:t>
            </w:r>
            <w:proofErr w:type="spellEnd"/>
          </w:p>
        </w:tc>
        <w:tc>
          <w:tcPr>
            <w:tcW w:w="2342" w:type="dxa"/>
            <w:tcBorders>
              <w:top w:val="nil"/>
              <w:left w:val="nil"/>
              <w:bottom w:val="single" w:sz="4" w:space="0" w:color="auto"/>
              <w:right w:val="nil"/>
            </w:tcBorders>
            <w:shd w:val="clear" w:color="auto" w:fill="auto"/>
            <w:noWrap/>
            <w:vAlign w:val="bottom"/>
            <w:hideMark/>
          </w:tcPr>
          <w:p w14:paraId="2D1CBDFD" w14:textId="1F0CF3C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2B14D6E" w14:textId="7DA33E3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AAA</w:t>
            </w:r>
          </w:p>
        </w:tc>
        <w:tc>
          <w:tcPr>
            <w:tcW w:w="2271" w:type="dxa"/>
            <w:tcBorders>
              <w:top w:val="nil"/>
              <w:left w:val="nil"/>
              <w:bottom w:val="single" w:sz="4" w:space="0" w:color="auto"/>
              <w:right w:val="single" w:sz="4" w:space="0" w:color="auto"/>
            </w:tcBorders>
            <w:shd w:val="clear" w:color="auto" w:fill="auto"/>
            <w:noWrap/>
            <w:vAlign w:val="bottom"/>
            <w:hideMark/>
          </w:tcPr>
          <w:p w14:paraId="26F4497B" w14:textId="5BB30BE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58" w:type="dxa"/>
            <w:tcBorders>
              <w:top w:val="nil"/>
              <w:left w:val="nil"/>
              <w:bottom w:val="single" w:sz="4" w:space="0" w:color="auto"/>
              <w:right w:val="nil"/>
            </w:tcBorders>
            <w:shd w:val="clear" w:color="auto" w:fill="auto"/>
            <w:noWrap/>
            <w:vAlign w:val="bottom"/>
            <w:hideMark/>
          </w:tcPr>
          <w:p w14:paraId="04B3C955" w14:textId="75C5C36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003F6699" w14:textId="2751E3E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r>
      <w:tr w:rsidR="00F74D89" w:rsidRPr="00E902F2" w14:paraId="7FD0B297"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B0163DD" w14:textId="4CDF893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Aa1</w:t>
            </w:r>
          </w:p>
        </w:tc>
        <w:tc>
          <w:tcPr>
            <w:tcW w:w="2342" w:type="dxa"/>
            <w:tcBorders>
              <w:top w:val="nil"/>
              <w:left w:val="nil"/>
              <w:bottom w:val="single" w:sz="4" w:space="0" w:color="auto"/>
              <w:right w:val="nil"/>
            </w:tcBorders>
            <w:shd w:val="clear" w:color="auto" w:fill="auto"/>
            <w:noWrap/>
            <w:vAlign w:val="bottom"/>
            <w:hideMark/>
          </w:tcPr>
          <w:p w14:paraId="5F60F4D1" w14:textId="2D1B1F2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59CE678" w14:textId="3ABC5D4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271" w:type="dxa"/>
            <w:tcBorders>
              <w:top w:val="nil"/>
              <w:left w:val="nil"/>
              <w:bottom w:val="single" w:sz="4" w:space="0" w:color="auto"/>
              <w:right w:val="single" w:sz="4" w:space="0" w:color="auto"/>
            </w:tcBorders>
            <w:shd w:val="clear" w:color="auto" w:fill="auto"/>
            <w:noWrap/>
            <w:vAlign w:val="bottom"/>
            <w:hideMark/>
          </w:tcPr>
          <w:p w14:paraId="0F425CB1" w14:textId="29E50D1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58" w:type="dxa"/>
            <w:tcBorders>
              <w:top w:val="nil"/>
              <w:left w:val="nil"/>
              <w:bottom w:val="single" w:sz="4" w:space="0" w:color="auto"/>
              <w:right w:val="nil"/>
            </w:tcBorders>
            <w:shd w:val="clear" w:color="auto" w:fill="auto"/>
            <w:noWrap/>
            <w:vAlign w:val="bottom"/>
            <w:hideMark/>
          </w:tcPr>
          <w:p w14:paraId="7FEAB6A2" w14:textId="63D9231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A6D57DD" w14:textId="2FDA217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r>
      <w:tr w:rsidR="00F74D89" w:rsidRPr="00E902F2" w14:paraId="0ED662D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4604DFC" w14:textId="38BCE62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Aa2</w:t>
            </w:r>
          </w:p>
        </w:tc>
        <w:tc>
          <w:tcPr>
            <w:tcW w:w="2342" w:type="dxa"/>
            <w:tcBorders>
              <w:top w:val="nil"/>
              <w:left w:val="nil"/>
              <w:bottom w:val="single" w:sz="4" w:space="0" w:color="auto"/>
              <w:right w:val="nil"/>
            </w:tcBorders>
            <w:shd w:val="clear" w:color="auto" w:fill="auto"/>
            <w:noWrap/>
            <w:vAlign w:val="bottom"/>
            <w:hideMark/>
          </w:tcPr>
          <w:p w14:paraId="7D9C6B39" w14:textId="76792A41"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4CA7020" w14:textId="1D93157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271" w:type="dxa"/>
            <w:tcBorders>
              <w:top w:val="nil"/>
              <w:left w:val="nil"/>
              <w:bottom w:val="single" w:sz="4" w:space="0" w:color="auto"/>
              <w:right w:val="single" w:sz="4" w:space="0" w:color="auto"/>
            </w:tcBorders>
            <w:shd w:val="clear" w:color="auto" w:fill="auto"/>
            <w:noWrap/>
            <w:vAlign w:val="bottom"/>
            <w:hideMark/>
          </w:tcPr>
          <w:p w14:paraId="153C76BC" w14:textId="4FEE3D4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58" w:type="dxa"/>
            <w:tcBorders>
              <w:top w:val="nil"/>
              <w:left w:val="nil"/>
              <w:bottom w:val="single" w:sz="4" w:space="0" w:color="auto"/>
              <w:right w:val="nil"/>
            </w:tcBorders>
            <w:shd w:val="clear" w:color="auto" w:fill="auto"/>
            <w:noWrap/>
            <w:vAlign w:val="bottom"/>
            <w:hideMark/>
          </w:tcPr>
          <w:p w14:paraId="4BA3CE8E" w14:textId="04DF9B0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63809A1" w14:textId="6D93669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r>
      <w:tr w:rsidR="00F74D89" w:rsidRPr="00E902F2" w14:paraId="481478D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19ACDE3" w14:textId="51A754E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Aa3</w:t>
            </w:r>
          </w:p>
        </w:tc>
        <w:tc>
          <w:tcPr>
            <w:tcW w:w="2342" w:type="dxa"/>
            <w:tcBorders>
              <w:top w:val="nil"/>
              <w:left w:val="nil"/>
              <w:bottom w:val="single" w:sz="4" w:space="0" w:color="auto"/>
              <w:right w:val="nil"/>
            </w:tcBorders>
            <w:shd w:val="clear" w:color="auto" w:fill="auto"/>
            <w:noWrap/>
            <w:vAlign w:val="bottom"/>
            <w:hideMark/>
          </w:tcPr>
          <w:p w14:paraId="3AD95A00" w14:textId="6EEEF05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F5E985A" w14:textId="04769C4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271" w:type="dxa"/>
            <w:tcBorders>
              <w:top w:val="nil"/>
              <w:left w:val="nil"/>
              <w:bottom w:val="single" w:sz="4" w:space="0" w:color="auto"/>
              <w:right w:val="single" w:sz="4" w:space="0" w:color="auto"/>
            </w:tcBorders>
            <w:shd w:val="clear" w:color="auto" w:fill="auto"/>
            <w:noWrap/>
            <w:vAlign w:val="bottom"/>
            <w:hideMark/>
          </w:tcPr>
          <w:p w14:paraId="2B07932E" w14:textId="61914B2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58" w:type="dxa"/>
            <w:tcBorders>
              <w:top w:val="nil"/>
              <w:left w:val="nil"/>
              <w:bottom w:val="single" w:sz="4" w:space="0" w:color="auto"/>
              <w:right w:val="nil"/>
            </w:tcBorders>
            <w:shd w:val="clear" w:color="auto" w:fill="auto"/>
            <w:noWrap/>
            <w:vAlign w:val="bottom"/>
            <w:hideMark/>
          </w:tcPr>
          <w:p w14:paraId="5CA6276C" w14:textId="2DAE043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D4340A9" w14:textId="3DCD360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r>
      <w:tr w:rsidR="00F74D89" w:rsidRPr="00E902F2" w14:paraId="37462AF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46CF492" w14:textId="333D23D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A1</w:t>
            </w:r>
          </w:p>
        </w:tc>
        <w:tc>
          <w:tcPr>
            <w:tcW w:w="2342" w:type="dxa"/>
            <w:tcBorders>
              <w:top w:val="nil"/>
              <w:left w:val="nil"/>
              <w:bottom w:val="single" w:sz="4" w:space="0" w:color="auto"/>
              <w:right w:val="nil"/>
            </w:tcBorders>
            <w:shd w:val="clear" w:color="auto" w:fill="auto"/>
            <w:noWrap/>
            <w:vAlign w:val="bottom"/>
            <w:hideMark/>
          </w:tcPr>
          <w:p w14:paraId="72EF79C6" w14:textId="2549E4F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81FA0FB" w14:textId="488A5CC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271" w:type="dxa"/>
            <w:tcBorders>
              <w:top w:val="nil"/>
              <w:left w:val="nil"/>
              <w:bottom w:val="single" w:sz="4" w:space="0" w:color="auto"/>
              <w:right w:val="single" w:sz="4" w:space="0" w:color="auto"/>
            </w:tcBorders>
            <w:shd w:val="clear" w:color="auto" w:fill="auto"/>
            <w:noWrap/>
            <w:vAlign w:val="bottom"/>
            <w:hideMark/>
          </w:tcPr>
          <w:p w14:paraId="206FA75C" w14:textId="0162CF61"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58" w:type="dxa"/>
            <w:tcBorders>
              <w:top w:val="nil"/>
              <w:left w:val="nil"/>
              <w:bottom w:val="single" w:sz="4" w:space="0" w:color="auto"/>
              <w:right w:val="nil"/>
            </w:tcBorders>
            <w:shd w:val="clear" w:color="auto" w:fill="auto"/>
            <w:noWrap/>
            <w:vAlign w:val="bottom"/>
            <w:hideMark/>
          </w:tcPr>
          <w:p w14:paraId="767436A8" w14:textId="7BACB68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361BABF" w14:textId="300DB82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r>
      <w:tr w:rsidR="00F74D89" w:rsidRPr="00E902F2" w14:paraId="391C668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19EC4AE9" w14:textId="62478B2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A2</w:t>
            </w:r>
          </w:p>
        </w:tc>
        <w:tc>
          <w:tcPr>
            <w:tcW w:w="2342" w:type="dxa"/>
            <w:tcBorders>
              <w:top w:val="nil"/>
              <w:left w:val="nil"/>
              <w:bottom w:val="single" w:sz="4" w:space="0" w:color="auto"/>
              <w:right w:val="nil"/>
            </w:tcBorders>
            <w:shd w:val="clear" w:color="auto" w:fill="auto"/>
            <w:noWrap/>
            <w:vAlign w:val="bottom"/>
            <w:hideMark/>
          </w:tcPr>
          <w:p w14:paraId="1902910F" w14:textId="05EFF34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8399B6" w14:textId="75D84C11"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271" w:type="dxa"/>
            <w:tcBorders>
              <w:top w:val="nil"/>
              <w:left w:val="nil"/>
              <w:bottom w:val="single" w:sz="4" w:space="0" w:color="auto"/>
              <w:right w:val="single" w:sz="4" w:space="0" w:color="auto"/>
            </w:tcBorders>
            <w:shd w:val="clear" w:color="auto" w:fill="auto"/>
            <w:noWrap/>
            <w:vAlign w:val="bottom"/>
            <w:hideMark/>
          </w:tcPr>
          <w:p w14:paraId="5DAC8381" w14:textId="2AEE922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58" w:type="dxa"/>
            <w:tcBorders>
              <w:top w:val="nil"/>
              <w:left w:val="nil"/>
              <w:bottom w:val="single" w:sz="4" w:space="0" w:color="auto"/>
              <w:right w:val="nil"/>
            </w:tcBorders>
            <w:shd w:val="clear" w:color="auto" w:fill="auto"/>
            <w:noWrap/>
            <w:vAlign w:val="bottom"/>
            <w:hideMark/>
          </w:tcPr>
          <w:p w14:paraId="3E3DC208" w14:textId="1A4AF1B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2498266" w14:textId="6734640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r>
      <w:tr w:rsidR="00F74D89" w:rsidRPr="00E902F2" w14:paraId="3FA0EA7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11975E2F" w14:textId="3A3AFC8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A3</w:t>
            </w:r>
          </w:p>
        </w:tc>
        <w:tc>
          <w:tcPr>
            <w:tcW w:w="2342" w:type="dxa"/>
            <w:tcBorders>
              <w:top w:val="nil"/>
              <w:left w:val="nil"/>
              <w:bottom w:val="single" w:sz="4" w:space="0" w:color="auto"/>
              <w:right w:val="nil"/>
            </w:tcBorders>
            <w:shd w:val="clear" w:color="auto" w:fill="auto"/>
            <w:noWrap/>
            <w:vAlign w:val="bottom"/>
            <w:hideMark/>
          </w:tcPr>
          <w:p w14:paraId="7704E991" w14:textId="1DD05FA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815E3C" w14:textId="2519F0A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271" w:type="dxa"/>
            <w:tcBorders>
              <w:top w:val="nil"/>
              <w:left w:val="nil"/>
              <w:bottom w:val="single" w:sz="4" w:space="0" w:color="auto"/>
              <w:right w:val="single" w:sz="4" w:space="0" w:color="auto"/>
            </w:tcBorders>
            <w:shd w:val="clear" w:color="auto" w:fill="auto"/>
            <w:noWrap/>
            <w:vAlign w:val="bottom"/>
            <w:hideMark/>
          </w:tcPr>
          <w:p w14:paraId="0808CF55" w14:textId="40E8CC2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58" w:type="dxa"/>
            <w:tcBorders>
              <w:top w:val="nil"/>
              <w:left w:val="nil"/>
              <w:bottom w:val="single" w:sz="4" w:space="0" w:color="auto"/>
              <w:right w:val="nil"/>
            </w:tcBorders>
            <w:shd w:val="clear" w:color="auto" w:fill="auto"/>
            <w:noWrap/>
            <w:vAlign w:val="bottom"/>
            <w:hideMark/>
          </w:tcPr>
          <w:p w14:paraId="5506B7CF" w14:textId="4BDCB35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7DC6686C" w14:textId="4BE57C0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r>
      <w:tr w:rsidR="00F74D89" w:rsidRPr="00E902F2" w14:paraId="2311AE35" w14:textId="77777777" w:rsidTr="00A02414">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0BE3" w14:textId="5EEAB93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Baa1</w:t>
            </w:r>
          </w:p>
        </w:tc>
        <w:tc>
          <w:tcPr>
            <w:tcW w:w="2342" w:type="dxa"/>
            <w:tcBorders>
              <w:top w:val="single" w:sz="4" w:space="0" w:color="auto"/>
              <w:left w:val="nil"/>
              <w:bottom w:val="single" w:sz="4" w:space="0" w:color="auto"/>
              <w:right w:val="nil"/>
            </w:tcBorders>
            <w:shd w:val="clear" w:color="auto" w:fill="auto"/>
            <w:noWrap/>
            <w:vAlign w:val="bottom"/>
            <w:hideMark/>
          </w:tcPr>
          <w:p w14:paraId="68E4B477" w14:textId="7AA4733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C317E" w14:textId="2E51C40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083376B5" w14:textId="4EACE60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58" w:type="dxa"/>
            <w:tcBorders>
              <w:top w:val="single" w:sz="4" w:space="0" w:color="auto"/>
              <w:left w:val="nil"/>
              <w:bottom w:val="single" w:sz="4" w:space="0" w:color="auto"/>
              <w:right w:val="nil"/>
            </w:tcBorders>
            <w:shd w:val="clear" w:color="auto" w:fill="auto"/>
            <w:noWrap/>
            <w:vAlign w:val="bottom"/>
            <w:hideMark/>
          </w:tcPr>
          <w:p w14:paraId="395DBF9E" w14:textId="6BFBA3B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DD46" w14:textId="369D208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r>
      <w:tr w:rsidR="00F74D89" w:rsidRPr="00E902F2" w14:paraId="6DA86955" w14:textId="77777777" w:rsidTr="00A02414">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4F0AE" w14:textId="2E8899B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Baa2</w:t>
            </w:r>
          </w:p>
        </w:tc>
        <w:tc>
          <w:tcPr>
            <w:tcW w:w="2342" w:type="dxa"/>
            <w:tcBorders>
              <w:top w:val="single" w:sz="4" w:space="0" w:color="auto"/>
              <w:left w:val="nil"/>
              <w:bottom w:val="single" w:sz="4" w:space="0" w:color="auto"/>
              <w:right w:val="nil"/>
            </w:tcBorders>
            <w:shd w:val="clear" w:color="auto" w:fill="auto"/>
            <w:noWrap/>
            <w:vAlign w:val="bottom"/>
            <w:hideMark/>
          </w:tcPr>
          <w:p w14:paraId="6DA243B6" w14:textId="2A99758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C8ABE" w14:textId="4D07A7C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4D33449C" w14:textId="2DD7415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58" w:type="dxa"/>
            <w:tcBorders>
              <w:top w:val="single" w:sz="4" w:space="0" w:color="auto"/>
              <w:left w:val="nil"/>
              <w:bottom w:val="single" w:sz="4" w:space="0" w:color="auto"/>
              <w:right w:val="nil"/>
            </w:tcBorders>
            <w:shd w:val="clear" w:color="auto" w:fill="auto"/>
            <w:noWrap/>
            <w:vAlign w:val="bottom"/>
            <w:hideMark/>
          </w:tcPr>
          <w:p w14:paraId="42DBE73E" w14:textId="5248213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315CF" w14:textId="340FAEE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r>
      <w:tr w:rsidR="00F74D89" w:rsidRPr="00E902F2" w14:paraId="6EC212B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70DDD87D" w14:textId="2DF9C0A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Baa3</w:t>
            </w:r>
          </w:p>
        </w:tc>
        <w:tc>
          <w:tcPr>
            <w:tcW w:w="2342" w:type="dxa"/>
            <w:tcBorders>
              <w:top w:val="nil"/>
              <w:left w:val="nil"/>
              <w:bottom w:val="single" w:sz="4" w:space="0" w:color="auto"/>
              <w:right w:val="nil"/>
            </w:tcBorders>
            <w:shd w:val="clear" w:color="auto" w:fill="auto"/>
            <w:noWrap/>
            <w:vAlign w:val="bottom"/>
            <w:hideMark/>
          </w:tcPr>
          <w:p w14:paraId="09C721EF" w14:textId="65E5F2F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76D7E4E" w14:textId="52E7D3C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271" w:type="dxa"/>
            <w:tcBorders>
              <w:top w:val="nil"/>
              <w:left w:val="nil"/>
              <w:bottom w:val="single" w:sz="4" w:space="0" w:color="auto"/>
              <w:right w:val="single" w:sz="4" w:space="0" w:color="auto"/>
            </w:tcBorders>
            <w:shd w:val="clear" w:color="auto" w:fill="auto"/>
            <w:noWrap/>
            <w:vAlign w:val="bottom"/>
            <w:hideMark/>
          </w:tcPr>
          <w:p w14:paraId="7E933DD0" w14:textId="1D2266B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58" w:type="dxa"/>
            <w:tcBorders>
              <w:top w:val="nil"/>
              <w:left w:val="nil"/>
              <w:bottom w:val="single" w:sz="4" w:space="0" w:color="auto"/>
              <w:right w:val="nil"/>
            </w:tcBorders>
            <w:shd w:val="clear" w:color="auto" w:fill="auto"/>
            <w:noWrap/>
            <w:vAlign w:val="bottom"/>
            <w:hideMark/>
          </w:tcPr>
          <w:p w14:paraId="71B75FB4" w14:textId="4992A58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22DF6212" w14:textId="5868C13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r>
      <w:tr w:rsidR="00F74D89" w:rsidRPr="00E902F2" w14:paraId="2F739246"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6560ACC" w14:textId="591507B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Ba1</w:t>
            </w:r>
          </w:p>
        </w:tc>
        <w:tc>
          <w:tcPr>
            <w:tcW w:w="2342" w:type="dxa"/>
            <w:tcBorders>
              <w:top w:val="nil"/>
              <w:left w:val="nil"/>
              <w:bottom w:val="single" w:sz="4" w:space="0" w:color="auto"/>
              <w:right w:val="nil"/>
            </w:tcBorders>
            <w:shd w:val="clear" w:color="auto" w:fill="auto"/>
            <w:noWrap/>
            <w:vAlign w:val="bottom"/>
            <w:hideMark/>
          </w:tcPr>
          <w:p w14:paraId="4DE8ECAE" w14:textId="445371C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BCCAE5E" w14:textId="050FFD9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271" w:type="dxa"/>
            <w:tcBorders>
              <w:top w:val="nil"/>
              <w:left w:val="nil"/>
              <w:bottom w:val="single" w:sz="4" w:space="0" w:color="auto"/>
              <w:right w:val="single" w:sz="4" w:space="0" w:color="auto"/>
            </w:tcBorders>
            <w:shd w:val="clear" w:color="auto" w:fill="auto"/>
            <w:noWrap/>
            <w:vAlign w:val="bottom"/>
            <w:hideMark/>
          </w:tcPr>
          <w:p w14:paraId="764A4036" w14:textId="6BFE19E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58" w:type="dxa"/>
            <w:tcBorders>
              <w:top w:val="nil"/>
              <w:left w:val="nil"/>
              <w:bottom w:val="single" w:sz="4" w:space="0" w:color="auto"/>
              <w:right w:val="nil"/>
            </w:tcBorders>
            <w:shd w:val="clear" w:color="auto" w:fill="auto"/>
            <w:noWrap/>
            <w:vAlign w:val="bottom"/>
            <w:hideMark/>
          </w:tcPr>
          <w:p w14:paraId="198E3F65" w14:textId="6C76858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0122CF33" w14:textId="2DB5FAE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r>
      <w:tr w:rsidR="00F74D89" w:rsidRPr="00E902F2" w14:paraId="6D64D2B8" w14:textId="77777777" w:rsidTr="00A02414">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F4A7D" w14:textId="560204D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Ba2</w:t>
            </w:r>
          </w:p>
        </w:tc>
        <w:tc>
          <w:tcPr>
            <w:tcW w:w="2342" w:type="dxa"/>
            <w:tcBorders>
              <w:top w:val="single" w:sz="4" w:space="0" w:color="auto"/>
              <w:left w:val="nil"/>
              <w:bottom w:val="single" w:sz="4" w:space="0" w:color="auto"/>
              <w:right w:val="nil"/>
            </w:tcBorders>
            <w:shd w:val="clear" w:color="auto" w:fill="auto"/>
            <w:noWrap/>
            <w:vAlign w:val="bottom"/>
            <w:hideMark/>
          </w:tcPr>
          <w:p w14:paraId="6899988D" w14:textId="37ABBBD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E5A79" w14:textId="10A712E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7561BA75" w14:textId="55D01CA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58" w:type="dxa"/>
            <w:tcBorders>
              <w:top w:val="single" w:sz="4" w:space="0" w:color="auto"/>
              <w:left w:val="nil"/>
              <w:bottom w:val="single" w:sz="4" w:space="0" w:color="auto"/>
              <w:right w:val="nil"/>
            </w:tcBorders>
            <w:shd w:val="clear" w:color="auto" w:fill="auto"/>
            <w:noWrap/>
            <w:vAlign w:val="bottom"/>
            <w:hideMark/>
          </w:tcPr>
          <w:p w14:paraId="413B06ED" w14:textId="0387829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85A5" w14:textId="32DDC62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r>
      <w:tr w:rsidR="00F74D89" w:rsidRPr="00E902F2" w14:paraId="007AE1F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4FF4DD7F" w14:textId="24F8692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Ba3</w:t>
            </w:r>
          </w:p>
        </w:tc>
        <w:tc>
          <w:tcPr>
            <w:tcW w:w="2342" w:type="dxa"/>
            <w:tcBorders>
              <w:top w:val="nil"/>
              <w:left w:val="nil"/>
              <w:bottom w:val="single" w:sz="4" w:space="0" w:color="auto"/>
              <w:right w:val="nil"/>
            </w:tcBorders>
            <w:shd w:val="clear" w:color="auto" w:fill="auto"/>
            <w:noWrap/>
            <w:vAlign w:val="bottom"/>
            <w:hideMark/>
          </w:tcPr>
          <w:p w14:paraId="7FE22654" w14:textId="0C2DCD0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1E55283" w14:textId="51BDAE3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271" w:type="dxa"/>
            <w:tcBorders>
              <w:top w:val="nil"/>
              <w:left w:val="nil"/>
              <w:bottom w:val="single" w:sz="4" w:space="0" w:color="auto"/>
              <w:right w:val="single" w:sz="4" w:space="0" w:color="auto"/>
            </w:tcBorders>
            <w:shd w:val="clear" w:color="auto" w:fill="auto"/>
            <w:noWrap/>
            <w:vAlign w:val="bottom"/>
            <w:hideMark/>
          </w:tcPr>
          <w:p w14:paraId="759B37F0" w14:textId="352088E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58" w:type="dxa"/>
            <w:tcBorders>
              <w:top w:val="nil"/>
              <w:left w:val="nil"/>
              <w:bottom w:val="single" w:sz="4" w:space="0" w:color="auto"/>
              <w:right w:val="nil"/>
            </w:tcBorders>
            <w:shd w:val="clear" w:color="auto" w:fill="auto"/>
            <w:noWrap/>
            <w:vAlign w:val="bottom"/>
            <w:hideMark/>
          </w:tcPr>
          <w:p w14:paraId="5EBDF5E9" w14:textId="384FFAC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388FD213" w14:textId="41878B9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r>
      <w:tr w:rsidR="00F74D89" w:rsidRPr="00E902F2" w14:paraId="78BD10F2" w14:textId="77777777" w:rsidTr="00A02414">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CA4DE" w14:textId="5611D9D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B1</w:t>
            </w:r>
          </w:p>
        </w:tc>
        <w:tc>
          <w:tcPr>
            <w:tcW w:w="2342" w:type="dxa"/>
            <w:tcBorders>
              <w:top w:val="single" w:sz="4" w:space="0" w:color="auto"/>
              <w:left w:val="nil"/>
              <w:bottom w:val="single" w:sz="4" w:space="0" w:color="auto"/>
              <w:right w:val="nil"/>
            </w:tcBorders>
            <w:shd w:val="clear" w:color="auto" w:fill="auto"/>
            <w:noWrap/>
            <w:vAlign w:val="bottom"/>
            <w:hideMark/>
          </w:tcPr>
          <w:p w14:paraId="028D9918" w14:textId="40B0BA0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6CE6C" w14:textId="6D2B5E2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0A99CF3F" w14:textId="0280283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58" w:type="dxa"/>
            <w:tcBorders>
              <w:top w:val="single" w:sz="4" w:space="0" w:color="auto"/>
              <w:left w:val="nil"/>
              <w:bottom w:val="single" w:sz="4" w:space="0" w:color="auto"/>
              <w:right w:val="nil"/>
            </w:tcBorders>
            <w:shd w:val="clear" w:color="auto" w:fill="auto"/>
            <w:noWrap/>
            <w:vAlign w:val="bottom"/>
            <w:hideMark/>
          </w:tcPr>
          <w:p w14:paraId="49B059E6" w14:textId="243E44A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5BC14" w14:textId="3583704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r>
      <w:tr w:rsidR="00F74D89" w:rsidRPr="00E902F2" w14:paraId="695ADBF4"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8401146" w14:textId="2FA413E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B2</w:t>
            </w:r>
          </w:p>
        </w:tc>
        <w:tc>
          <w:tcPr>
            <w:tcW w:w="2342" w:type="dxa"/>
            <w:tcBorders>
              <w:top w:val="nil"/>
              <w:left w:val="nil"/>
              <w:bottom w:val="single" w:sz="4" w:space="0" w:color="auto"/>
              <w:right w:val="nil"/>
            </w:tcBorders>
            <w:shd w:val="clear" w:color="auto" w:fill="auto"/>
            <w:noWrap/>
            <w:vAlign w:val="bottom"/>
            <w:hideMark/>
          </w:tcPr>
          <w:p w14:paraId="1CE35990" w14:textId="138BB23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8EFA674" w14:textId="6A22482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271" w:type="dxa"/>
            <w:tcBorders>
              <w:top w:val="nil"/>
              <w:left w:val="nil"/>
              <w:bottom w:val="single" w:sz="4" w:space="0" w:color="auto"/>
              <w:right w:val="single" w:sz="4" w:space="0" w:color="auto"/>
            </w:tcBorders>
            <w:shd w:val="clear" w:color="auto" w:fill="auto"/>
            <w:noWrap/>
            <w:vAlign w:val="bottom"/>
            <w:hideMark/>
          </w:tcPr>
          <w:p w14:paraId="7CD1925E" w14:textId="0E098D7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58" w:type="dxa"/>
            <w:tcBorders>
              <w:top w:val="nil"/>
              <w:left w:val="nil"/>
              <w:bottom w:val="single" w:sz="4" w:space="0" w:color="auto"/>
              <w:right w:val="nil"/>
            </w:tcBorders>
            <w:shd w:val="clear" w:color="auto" w:fill="auto"/>
            <w:noWrap/>
            <w:vAlign w:val="bottom"/>
            <w:hideMark/>
          </w:tcPr>
          <w:p w14:paraId="0EE92560" w14:textId="24832DE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214B85DB" w14:textId="4B0DE50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r>
      <w:tr w:rsidR="00F74D89" w:rsidRPr="00E902F2" w14:paraId="25C6E012"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DB4FEB9" w14:textId="79CFD9D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B3</w:t>
            </w:r>
          </w:p>
        </w:tc>
        <w:tc>
          <w:tcPr>
            <w:tcW w:w="2342" w:type="dxa"/>
            <w:tcBorders>
              <w:top w:val="nil"/>
              <w:left w:val="nil"/>
              <w:bottom w:val="single" w:sz="4" w:space="0" w:color="auto"/>
              <w:right w:val="nil"/>
            </w:tcBorders>
            <w:shd w:val="clear" w:color="auto" w:fill="auto"/>
            <w:noWrap/>
            <w:vAlign w:val="bottom"/>
            <w:hideMark/>
          </w:tcPr>
          <w:p w14:paraId="039CEC4E" w14:textId="4EACF75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62231CC" w14:textId="031CD7C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271" w:type="dxa"/>
            <w:tcBorders>
              <w:top w:val="nil"/>
              <w:left w:val="nil"/>
              <w:bottom w:val="single" w:sz="4" w:space="0" w:color="auto"/>
              <w:right w:val="single" w:sz="4" w:space="0" w:color="auto"/>
            </w:tcBorders>
            <w:shd w:val="clear" w:color="auto" w:fill="auto"/>
            <w:noWrap/>
            <w:vAlign w:val="bottom"/>
            <w:hideMark/>
          </w:tcPr>
          <w:p w14:paraId="58DD2132" w14:textId="77FDEC8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58" w:type="dxa"/>
            <w:tcBorders>
              <w:top w:val="nil"/>
              <w:left w:val="nil"/>
              <w:bottom w:val="single" w:sz="4" w:space="0" w:color="auto"/>
              <w:right w:val="nil"/>
            </w:tcBorders>
            <w:shd w:val="clear" w:color="auto" w:fill="auto"/>
            <w:noWrap/>
            <w:vAlign w:val="bottom"/>
            <w:hideMark/>
          </w:tcPr>
          <w:p w14:paraId="364F5CF2" w14:textId="3D4FDB1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1DAD8B54" w14:textId="58F1BB9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r>
      <w:tr w:rsidR="00F74D89" w:rsidRPr="00E902F2" w14:paraId="4721188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98EE21D" w14:textId="1FFE68A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Caa1</w:t>
            </w:r>
          </w:p>
        </w:tc>
        <w:tc>
          <w:tcPr>
            <w:tcW w:w="2342" w:type="dxa"/>
            <w:tcBorders>
              <w:top w:val="nil"/>
              <w:left w:val="nil"/>
              <w:bottom w:val="single" w:sz="4" w:space="0" w:color="auto"/>
              <w:right w:val="nil"/>
            </w:tcBorders>
            <w:shd w:val="clear" w:color="auto" w:fill="auto"/>
            <w:noWrap/>
            <w:vAlign w:val="bottom"/>
            <w:hideMark/>
          </w:tcPr>
          <w:p w14:paraId="598548A0" w14:textId="171C22F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9401703" w14:textId="1C55597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271" w:type="dxa"/>
            <w:tcBorders>
              <w:top w:val="nil"/>
              <w:left w:val="nil"/>
              <w:bottom w:val="single" w:sz="4" w:space="0" w:color="auto"/>
              <w:right w:val="single" w:sz="4" w:space="0" w:color="auto"/>
            </w:tcBorders>
            <w:shd w:val="clear" w:color="auto" w:fill="auto"/>
            <w:noWrap/>
            <w:vAlign w:val="bottom"/>
            <w:hideMark/>
          </w:tcPr>
          <w:p w14:paraId="5ABFB5B7" w14:textId="1E5C542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07AB0F57" w14:textId="095D8B6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4878389F" w14:textId="5977C08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05E0EE8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BB7F5E5" w14:textId="20676F9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Caa2</w:t>
            </w:r>
          </w:p>
        </w:tc>
        <w:tc>
          <w:tcPr>
            <w:tcW w:w="2342" w:type="dxa"/>
            <w:tcBorders>
              <w:top w:val="nil"/>
              <w:left w:val="nil"/>
              <w:bottom w:val="single" w:sz="4" w:space="0" w:color="auto"/>
              <w:right w:val="nil"/>
            </w:tcBorders>
            <w:shd w:val="clear" w:color="auto" w:fill="auto"/>
            <w:noWrap/>
            <w:vAlign w:val="bottom"/>
            <w:hideMark/>
          </w:tcPr>
          <w:p w14:paraId="3B614B20" w14:textId="0659BC2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E8BEAE9" w14:textId="07AF0B5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271" w:type="dxa"/>
            <w:tcBorders>
              <w:top w:val="nil"/>
              <w:left w:val="nil"/>
              <w:bottom w:val="single" w:sz="4" w:space="0" w:color="auto"/>
              <w:right w:val="single" w:sz="4" w:space="0" w:color="auto"/>
            </w:tcBorders>
            <w:shd w:val="clear" w:color="auto" w:fill="auto"/>
            <w:noWrap/>
            <w:vAlign w:val="bottom"/>
            <w:hideMark/>
          </w:tcPr>
          <w:p w14:paraId="78BFAFC7" w14:textId="304221D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6CC75BE7" w14:textId="1592376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371D9B70" w14:textId="2AA2D4E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67F9AD0E"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12B9EE4" w14:textId="52CA92C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Caa3</w:t>
            </w:r>
          </w:p>
        </w:tc>
        <w:tc>
          <w:tcPr>
            <w:tcW w:w="2342" w:type="dxa"/>
            <w:tcBorders>
              <w:top w:val="nil"/>
              <w:left w:val="nil"/>
              <w:bottom w:val="single" w:sz="4" w:space="0" w:color="auto"/>
              <w:right w:val="nil"/>
            </w:tcBorders>
            <w:shd w:val="clear" w:color="auto" w:fill="auto"/>
            <w:noWrap/>
            <w:vAlign w:val="bottom"/>
            <w:hideMark/>
          </w:tcPr>
          <w:p w14:paraId="217B4F3F" w14:textId="7B02E9E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9BE321" w14:textId="0643AC5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271" w:type="dxa"/>
            <w:tcBorders>
              <w:top w:val="nil"/>
              <w:left w:val="nil"/>
              <w:bottom w:val="single" w:sz="4" w:space="0" w:color="auto"/>
              <w:right w:val="single" w:sz="4" w:space="0" w:color="auto"/>
            </w:tcBorders>
            <w:shd w:val="clear" w:color="auto" w:fill="auto"/>
            <w:noWrap/>
            <w:vAlign w:val="bottom"/>
            <w:hideMark/>
          </w:tcPr>
          <w:p w14:paraId="01652828" w14:textId="7A988C2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20C23EBB" w14:textId="2877F12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56ED4840" w14:textId="62A6367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4F12B076"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7070E686" w14:textId="5BAC1E5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Ca</w:t>
            </w:r>
          </w:p>
        </w:tc>
        <w:tc>
          <w:tcPr>
            <w:tcW w:w="2342" w:type="dxa"/>
            <w:tcBorders>
              <w:top w:val="nil"/>
              <w:left w:val="nil"/>
              <w:bottom w:val="single" w:sz="4" w:space="0" w:color="auto"/>
              <w:right w:val="nil"/>
            </w:tcBorders>
            <w:shd w:val="clear" w:color="auto" w:fill="auto"/>
            <w:noWrap/>
            <w:vAlign w:val="bottom"/>
            <w:hideMark/>
          </w:tcPr>
          <w:p w14:paraId="364886DC" w14:textId="26A0E57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76A7A38" w14:textId="15D475D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w:t>
            </w:r>
          </w:p>
        </w:tc>
        <w:tc>
          <w:tcPr>
            <w:tcW w:w="2271" w:type="dxa"/>
            <w:tcBorders>
              <w:top w:val="nil"/>
              <w:left w:val="nil"/>
              <w:bottom w:val="single" w:sz="4" w:space="0" w:color="auto"/>
              <w:right w:val="single" w:sz="4" w:space="0" w:color="auto"/>
            </w:tcBorders>
            <w:shd w:val="clear" w:color="auto" w:fill="auto"/>
            <w:noWrap/>
            <w:vAlign w:val="bottom"/>
            <w:hideMark/>
          </w:tcPr>
          <w:p w14:paraId="6ADF7714" w14:textId="7ED5260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19E83813" w14:textId="4046A901"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7CBBE37A" w14:textId="1352CCF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5F6EF82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1B088380" w14:textId="06B4943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w:t>
            </w:r>
          </w:p>
        </w:tc>
        <w:tc>
          <w:tcPr>
            <w:tcW w:w="2342" w:type="dxa"/>
            <w:tcBorders>
              <w:top w:val="nil"/>
              <w:left w:val="nil"/>
              <w:bottom w:val="single" w:sz="4" w:space="0" w:color="auto"/>
              <w:right w:val="nil"/>
            </w:tcBorders>
            <w:shd w:val="clear" w:color="auto" w:fill="auto"/>
            <w:noWrap/>
            <w:vAlign w:val="bottom"/>
            <w:hideMark/>
          </w:tcPr>
          <w:p w14:paraId="30A976CE" w14:textId="1354A41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03F843D" w14:textId="579EA54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w:t>
            </w:r>
          </w:p>
        </w:tc>
        <w:tc>
          <w:tcPr>
            <w:tcW w:w="2271" w:type="dxa"/>
            <w:tcBorders>
              <w:top w:val="nil"/>
              <w:left w:val="nil"/>
              <w:bottom w:val="single" w:sz="4" w:space="0" w:color="auto"/>
              <w:right w:val="single" w:sz="4" w:space="0" w:color="auto"/>
            </w:tcBorders>
            <w:shd w:val="clear" w:color="auto" w:fill="auto"/>
            <w:noWrap/>
            <w:vAlign w:val="bottom"/>
            <w:hideMark/>
          </w:tcPr>
          <w:p w14:paraId="4FC11C55" w14:textId="61A5347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3E68D29A" w14:textId="7131EC3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56644319" w14:textId="0FCBA96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6CCFFD4E" w14:textId="77777777" w:rsidTr="00A02414">
        <w:trPr>
          <w:trHeight w:val="255"/>
        </w:trPr>
        <w:tc>
          <w:tcPr>
            <w:tcW w:w="958" w:type="dxa"/>
            <w:tcBorders>
              <w:top w:val="nil"/>
              <w:left w:val="nil"/>
              <w:bottom w:val="nil"/>
              <w:right w:val="nil"/>
            </w:tcBorders>
            <w:shd w:val="clear" w:color="auto" w:fill="auto"/>
            <w:noWrap/>
            <w:vAlign w:val="bottom"/>
            <w:hideMark/>
          </w:tcPr>
          <w:p w14:paraId="3F33342E" w14:textId="0407A750"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2342" w:type="dxa"/>
            <w:tcBorders>
              <w:top w:val="nil"/>
              <w:left w:val="nil"/>
              <w:bottom w:val="nil"/>
              <w:right w:val="nil"/>
            </w:tcBorders>
            <w:shd w:val="clear" w:color="auto" w:fill="auto"/>
            <w:noWrap/>
            <w:vAlign w:val="bottom"/>
            <w:hideMark/>
          </w:tcPr>
          <w:p w14:paraId="2A65A925" w14:textId="05643BDF"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929" w:type="dxa"/>
            <w:tcBorders>
              <w:top w:val="nil"/>
              <w:left w:val="nil"/>
              <w:bottom w:val="nil"/>
              <w:right w:val="nil"/>
            </w:tcBorders>
            <w:shd w:val="clear" w:color="auto" w:fill="auto"/>
            <w:noWrap/>
            <w:vAlign w:val="bottom"/>
            <w:hideMark/>
          </w:tcPr>
          <w:p w14:paraId="1916C184" w14:textId="12A730D2"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2271" w:type="dxa"/>
            <w:tcBorders>
              <w:top w:val="nil"/>
              <w:left w:val="nil"/>
              <w:bottom w:val="nil"/>
              <w:right w:val="single" w:sz="4" w:space="0" w:color="auto"/>
            </w:tcBorders>
            <w:shd w:val="clear" w:color="auto" w:fill="auto"/>
            <w:noWrap/>
            <w:vAlign w:val="bottom"/>
            <w:hideMark/>
          </w:tcPr>
          <w:p w14:paraId="190AACF6" w14:textId="6BC28615"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958" w:type="dxa"/>
            <w:tcBorders>
              <w:top w:val="nil"/>
              <w:left w:val="nil"/>
              <w:bottom w:val="single" w:sz="4" w:space="0" w:color="auto"/>
              <w:right w:val="nil"/>
            </w:tcBorders>
            <w:shd w:val="clear" w:color="auto" w:fill="auto"/>
            <w:noWrap/>
            <w:vAlign w:val="bottom"/>
            <w:hideMark/>
          </w:tcPr>
          <w:p w14:paraId="499A2232" w14:textId="03465CC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DDD</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391EC749" w14:textId="6D09F7D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05DBEECC" w14:textId="77777777" w:rsidTr="00A02414">
        <w:trPr>
          <w:trHeight w:val="255"/>
        </w:trPr>
        <w:tc>
          <w:tcPr>
            <w:tcW w:w="958" w:type="dxa"/>
            <w:tcBorders>
              <w:top w:val="nil"/>
              <w:left w:val="nil"/>
              <w:bottom w:val="nil"/>
              <w:right w:val="nil"/>
            </w:tcBorders>
            <w:shd w:val="clear" w:color="auto" w:fill="auto"/>
            <w:noWrap/>
            <w:vAlign w:val="bottom"/>
            <w:hideMark/>
          </w:tcPr>
          <w:p w14:paraId="0235859D" w14:textId="77777777" w:rsidR="00F74D89" w:rsidRPr="00E902F2" w:rsidRDefault="00F74D89" w:rsidP="00F74D89">
            <w:pPr>
              <w:spacing w:after="0" w:line="240" w:lineRule="auto"/>
              <w:rPr>
                <w:rFonts w:ascii="Arial" w:eastAsia="Times New Roman" w:hAnsi="Arial" w:cs="Arial"/>
                <w:sz w:val="20"/>
                <w:szCs w:val="20"/>
              </w:rPr>
            </w:pPr>
          </w:p>
        </w:tc>
        <w:tc>
          <w:tcPr>
            <w:tcW w:w="2342" w:type="dxa"/>
            <w:tcBorders>
              <w:top w:val="nil"/>
              <w:left w:val="nil"/>
              <w:bottom w:val="nil"/>
              <w:right w:val="nil"/>
            </w:tcBorders>
            <w:shd w:val="clear" w:color="auto" w:fill="auto"/>
            <w:noWrap/>
            <w:vAlign w:val="bottom"/>
            <w:hideMark/>
          </w:tcPr>
          <w:p w14:paraId="5A537747" w14:textId="77777777" w:rsidR="00F74D89" w:rsidRPr="00E902F2" w:rsidRDefault="00F74D89" w:rsidP="00F74D89">
            <w:pPr>
              <w:spacing w:after="0" w:line="240" w:lineRule="auto"/>
              <w:rPr>
                <w:rFonts w:ascii="Arial" w:eastAsia="Times New Roman" w:hAnsi="Arial" w:cs="Arial"/>
                <w:sz w:val="20"/>
                <w:szCs w:val="20"/>
              </w:rPr>
            </w:pPr>
          </w:p>
        </w:tc>
        <w:tc>
          <w:tcPr>
            <w:tcW w:w="929" w:type="dxa"/>
            <w:tcBorders>
              <w:top w:val="nil"/>
              <w:left w:val="nil"/>
              <w:bottom w:val="nil"/>
              <w:right w:val="nil"/>
            </w:tcBorders>
            <w:shd w:val="clear" w:color="auto" w:fill="auto"/>
            <w:noWrap/>
            <w:vAlign w:val="bottom"/>
            <w:hideMark/>
          </w:tcPr>
          <w:p w14:paraId="4F13D52E" w14:textId="77777777" w:rsidR="00F74D89" w:rsidRPr="00E902F2" w:rsidRDefault="00F74D89" w:rsidP="00F74D89">
            <w:pPr>
              <w:spacing w:after="0" w:line="240" w:lineRule="auto"/>
              <w:rPr>
                <w:rFonts w:ascii="Arial" w:eastAsia="Times New Roman" w:hAnsi="Arial" w:cs="Arial"/>
                <w:sz w:val="20"/>
                <w:szCs w:val="20"/>
              </w:rPr>
            </w:pPr>
          </w:p>
        </w:tc>
        <w:tc>
          <w:tcPr>
            <w:tcW w:w="2271" w:type="dxa"/>
            <w:tcBorders>
              <w:top w:val="nil"/>
              <w:left w:val="nil"/>
              <w:bottom w:val="nil"/>
              <w:right w:val="single" w:sz="4" w:space="0" w:color="auto"/>
            </w:tcBorders>
            <w:shd w:val="clear" w:color="auto" w:fill="auto"/>
            <w:noWrap/>
            <w:vAlign w:val="bottom"/>
            <w:hideMark/>
          </w:tcPr>
          <w:p w14:paraId="46E63641" w14:textId="6ED953EA"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958" w:type="dxa"/>
            <w:tcBorders>
              <w:top w:val="nil"/>
              <w:left w:val="nil"/>
              <w:bottom w:val="single" w:sz="4" w:space="0" w:color="auto"/>
              <w:right w:val="nil"/>
            </w:tcBorders>
            <w:shd w:val="clear" w:color="auto" w:fill="auto"/>
            <w:noWrap/>
            <w:vAlign w:val="bottom"/>
            <w:hideMark/>
          </w:tcPr>
          <w:p w14:paraId="08BC2EB6" w14:textId="02E3C4D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DD</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3658C074" w14:textId="67E95CE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B13FC6" w14:paraId="3BBDD56C" w14:textId="77777777" w:rsidTr="00A02414">
        <w:trPr>
          <w:trHeight w:val="255"/>
        </w:trPr>
        <w:tc>
          <w:tcPr>
            <w:tcW w:w="958" w:type="dxa"/>
            <w:tcBorders>
              <w:top w:val="nil"/>
              <w:left w:val="nil"/>
              <w:bottom w:val="nil"/>
              <w:right w:val="nil"/>
            </w:tcBorders>
            <w:shd w:val="clear" w:color="auto" w:fill="auto"/>
            <w:noWrap/>
            <w:vAlign w:val="bottom"/>
            <w:hideMark/>
          </w:tcPr>
          <w:p w14:paraId="6164B49D" w14:textId="77777777" w:rsidR="00F74D89" w:rsidRPr="00E902F2" w:rsidRDefault="00F74D89" w:rsidP="00F74D89">
            <w:pPr>
              <w:spacing w:after="0" w:line="240" w:lineRule="auto"/>
              <w:rPr>
                <w:rFonts w:ascii="Arial" w:eastAsia="Times New Roman" w:hAnsi="Arial" w:cs="Arial"/>
                <w:sz w:val="20"/>
                <w:szCs w:val="20"/>
              </w:rPr>
            </w:pPr>
          </w:p>
        </w:tc>
        <w:tc>
          <w:tcPr>
            <w:tcW w:w="2342" w:type="dxa"/>
            <w:tcBorders>
              <w:top w:val="nil"/>
              <w:left w:val="nil"/>
              <w:bottom w:val="nil"/>
              <w:right w:val="nil"/>
            </w:tcBorders>
            <w:shd w:val="clear" w:color="auto" w:fill="auto"/>
            <w:noWrap/>
            <w:vAlign w:val="bottom"/>
            <w:hideMark/>
          </w:tcPr>
          <w:p w14:paraId="6F71E730" w14:textId="77777777" w:rsidR="00F74D89" w:rsidRPr="00E902F2" w:rsidRDefault="00F74D89" w:rsidP="00F74D89">
            <w:pPr>
              <w:spacing w:after="0" w:line="240" w:lineRule="auto"/>
              <w:rPr>
                <w:rFonts w:ascii="Arial" w:eastAsia="Times New Roman" w:hAnsi="Arial" w:cs="Arial"/>
                <w:sz w:val="20"/>
                <w:szCs w:val="20"/>
              </w:rPr>
            </w:pPr>
          </w:p>
        </w:tc>
        <w:tc>
          <w:tcPr>
            <w:tcW w:w="929" w:type="dxa"/>
            <w:tcBorders>
              <w:top w:val="nil"/>
              <w:left w:val="nil"/>
              <w:bottom w:val="nil"/>
              <w:right w:val="nil"/>
            </w:tcBorders>
            <w:shd w:val="clear" w:color="auto" w:fill="auto"/>
            <w:noWrap/>
            <w:vAlign w:val="bottom"/>
            <w:hideMark/>
          </w:tcPr>
          <w:p w14:paraId="7FBF1BD0" w14:textId="77777777" w:rsidR="00F74D89" w:rsidRPr="00E902F2" w:rsidRDefault="00F74D89" w:rsidP="00F74D89">
            <w:pPr>
              <w:spacing w:after="0" w:line="240" w:lineRule="auto"/>
              <w:rPr>
                <w:rFonts w:ascii="Arial" w:eastAsia="Times New Roman" w:hAnsi="Arial" w:cs="Arial"/>
                <w:sz w:val="20"/>
                <w:szCs w:val="20"/>
              </w:rPr>
            </w:pPr>
          </w:p>
        </w:tc>
        <w:tc>
          <w:tcPr>
            <w:tcW w:w="2271" w:type="dxa"/>
            <w:tcBorders>
              <w:top w:val="nil"/>
              <w:left w:val="nil"/>
              <w:bottom w:val="nil"/>
              <w:right w:val="single" w:sz="4" w:space="0" w:color="auto"/>
            </w:tcBorders>
            <w:shd w:val="clear" w:color="auto" w:fill="auto"/>
            <w:noWrap/>
            <w:vAlign w:val="bottom"/>
            <w:hideMark/>
          </w:tcPr>
          <w:p w14:paraId="619AF2AC" w14:textId="01754007"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958" w:type="dxa"/>
            <w:tcBorders>
              <w:top w:val="nil"/>
              <w:left w:val="nil"/>
              <w:bottom w:val="single" w:sz="4" w:space="0" w:color="auto"/>
              <w:right w:val="nil"/>
            </w:tcBorders>
            <w:shd w:val="clear" w:color="auto" w:fill="auto"/>
            <w:noWrap/>
            <w:vAlign w:val="bottom"/>
            <w:hideMark/>
          </w:tcPr>
          <w:p w14:paraId="105C90EC" w14:textId="6D999FF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D</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4A305871" w14:textId="09644941" w:rsidR="00F74D89" w:rsidRPr="00B13FC6"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bl>
    <w:p w14:paraId="2200AC5B" w14:textId="77777777" w:rsidR="00BA3439" w:rsidRPr="00B13FC6" w:rsidRDefault="00BA3439" w:rsidP="00BA3439">
      <w:pPr>
        <w:ind w:right="-426"/>
        <w:rPr>
          <w:rFonts w:ascii="Arial" w:hAnsi="Arial" w:cs="Arial"/>
          <w:b/>
          <w:color w:val="2E74B5" w:themeColor="accent1" w:themeShade="BF"/>
          <w:sz w:val="20"/>
          <w:szCs w:val="20"/>
        </w:rPr>
      </w:pPr>
    </w:p>
    <w:p w14:paraId="64132B41" w14:textId="77777777" w:rsidR="00BA3439" w:rsidRPr="00A460E6" w:rsidRDefault="00BA3439" w:rsidP="00984DBF">
      <w:pPr>
        <w:pStyle w:val="ListParagraph"/>
        <w:numPr>
          <w:ilvl w:val="0"/>
          <w:numId w:val="22"/>
        </w:numPr>
        <w:ind w:left="567" w:hanging="501"/>
        <w:jc w:val="both"/>
        <w:rPr>
          <w:rFonts w:ascii="Arial" w:hAnsi="Arial" w:cs="Arial"/>
          <w:b/>
          <w:color w:val="000000" w:themeColor="text1"/>
          <w:sz w:val="20"/>
          <w:szCs w:val="20"/>
        </w:rPr>
      </w:pPr>
      <w:r w:rsidRPr="00A460E6">
        <w:rPr>
          <w:rFonts w:ascii="Arial" w:hAnsi="Arial" w:cs="Arial"/>
          <w:b/>
          <w:color w:val="000000" w:themeColor="text1"/>
          <w:sz w:val="20"/>
          <w:szCs w:val="20"/>
        </w:rPr>
        <w:t>Hodnoty expozície pred zmierňovaním kreditného rizika a po ňom priradené každému stupňu kreditnej kvality stanovenému v 3. časti hlave II kapitole 2 nariadenia č. 575/2013 - Štandardizovaný prístup, ako aj tie ktoré sa odpočítali od vlastných zdrojov</w:t>
      </w:r>
    </w:p>
    <w:p w14:paraId="4E6F58FE" w14:textId="77777777" w:rsidR="00BA3439" w:rsidRPr="00B13FC6" w:rsidRDefault="00BA3439" w:rsidP="00BA3439">
      <w:pPr>
        <w:pStyle w:val="ListParagraph"/>
        <w:ind w:left="0" w:right="-1"/>
        <w:jc w:val="both"/>
        <w:rPr>
          <w:rFonts w:ascii="Arial" w:hAnsi="Arial" w:cs="Arial"/>
          <w:color w:val="2E74B5" w:themeColor="accent1" w:themeShade="BF"/>
          <w:sz w:val="18"/>
          <w:szCs w:val="18"/>
        </w:rPr>
      </w:pPr>
    </w:p>
    <w:tbl>
      <w:tblPr>
        <w:tblW w:w="11400" w:type="dxa"/>
        <w:tblInd w:w="55" w:type="dxa"/>
        <w:tblCellMar>
          <w:left w:w="70" w:type="dxa"/>
          <w:right w:w="70" w:type="dxa"/>
        </w:tblCellMar>
        <w:tblLook w:val="04A0" w:firstRow="1" w:lastRow="0" w:firstColumn="1" w:lastColumn="0" w:noHBand="0" w:noVBand="1"/>
      </w:tblPr>
      <w:tblGrid>
        <w:gridCol w:w="1660"/>
        <w:gridCol w:w="1332"/>
        <w:gridCol w:w="308"/>
        <w:gridCol w:w="968"/>
        <w:gridCol w:w="572"/>
        <w:gridCol w:w="704"/>
        <w:gridCol w:w="1096"/>
        <w:gridCol w:w="179"/>
        <w:gridCol w:w="1134"/>
        <w:gridCol w:w="147"/>
        <w:gridCol w:w="987"/>
        <w:gridCol w:w="473"/>
        <w:gridCol w:w="1840"/>
      </w:tblGrid>
      <w:tr w:rsidR="008E6FA8" w:rsidRPr="009C6D5F" w14:paraId="5E444428" w14:textId="77777777" w:rsidTr="008E6FA8">
        <w:trPr>
          <w:trHeight w:val="255"/>
        </w:trPr>
        <w:tc>
          <w:tcPr>
            <w:tcW w:w="1660" w:type="dxa"/>
            <w:tcBorders>
              <w:top w:val="nil"/>
              <w:left w:val="nil"/>
              <w:bottom w:val="nil"/>
              <w:right w:val="nil"/>
            </w:tcBorders>
            <w:shd w:val="clear" w:color="auto" w:fill="auto"/>
            <w:noWrap/>
            <w:vAlign w:val="bottom"/>
            <w:hideMark/>
          </w:tcPr>
          <w:p w14:paraId="3CC2A7AA" w14:textId="77777777" w:rsidR="008E6FA8" w:rsidRPr="00B13FC6" w:rsidRDefault="008E6FA8" w:rsidP="008E6FA8">
            <w:pPr>
              <w:spacing w:after="0" w:line="240" w:lineRule="auto"/>
              <w:rPr>
                <w:rFonts w:ascii="Arial" w:eastAsia="Times New Roman" w:hAnsi="Arial" w:cs="Arial"/>
                <w:sz w:val="18"/>
                <w:szCs w:val="18"/>
              </w:rPr>
            </w:pPr>
          </w:p>
        </w:tc>
        <w:tc>
          <w:tcPr>
            <w:tcW w:w="1640" w:type="dxa"/>
            <w:gridSpan w:val="2"/>
            <w:tcBorders>
              <w:top w:val="nil"/>
              <w:left w:val="nil"/>
              <w:bottom w:val="nil"/>
              <w:right w:val="nil"/>
            </w:tcBorders>
            <w:shd w:val="clear" w:color="auto" w:fill="auto"/>
            <w:noWrap/>
            <w:vAlign w:val="bottom"/>
            <w:hideMark/>
          </w:tcPr>
          <w:p w14:paraId="12A6FAB4" w14:textId="77777777" w:rsidR="008E6FA8" w:rsidRPr="00B13FC6" w:rsidRDefault="008E6FA8" w:rsidP="008E6FA8">
            <w:pPr>
              <w:spacing w:after="0" w:line="240" w:lineRule="auto"/>
              <w:rPr>
                <w:rFonts w:ascii="Arial" w:eastAsia="Times New Roman" w:hAnsi="Arial" w:cs="Arial"/>
                <w:sz w:val="18"/>
                <w:szCs w:val="18"/>
              </w:rPr>
            </w:pPr>
          </w:p>
        </w:tc>
        <w:tc>
          <w:tcPr>
            <w:tcW w:w="1540" w:type="dxa"/>
            <w:gridSpan w:val="2"/>
            <w:tcBorders>
              <w:top w:val="nil"/>
              <w:left w:val="nil"/>
              <w:bottom w:val="nil"/>
              <w:right w:val="nil"/>
            </w:tcBorders>
            <w:shd w:val="clear" w:color="auto" w:fill="auto"/>
            <w:noWrap/>
            <w:vAlign w:val="bottom"/>
            <w:hideMark/>
          </w:tcPr>
          <w:p w14:paraId="2AEC8BFB" w14:textId="77777777" w:rsidR="008E6FA8" w:rsidRPr="00B13FC6" w:rsidRDefault="008E6FA8" w:rsidP="008E6FA8">
            <w:pPr>
              <w:spacing w:after="0" w:line="240" w:lineRule="auto"/>
              <w:rPr>
                <w:rFonts w:ascii="Arial" w:eastAsia="Times New Roman" w:hAnsi="Arial" w:cs="Arial"/>
                <w:sz w:val="18"/>
                <w:szCs w:val="18"/>
              </w:rPr>
            </w:pPr>
          </w:p>
        </w:tc>
        <w:tc>
          <w:tcPr>
            <w:tcW w:w="1800" w:type="dxa"/>
            <w:gridSpan w:val="2"/>
            <w:tcBorders>
              <w:top w:val="nil"/>
              <w:left w:val="nil"/>
              <w:bottom w:val="nil"/>
              <w:right w:val="nil"/>
            </w:tcBorders>
            <w:shd w:val="clear" w:color="auto" w:fill="auto"/>
            <w:noWrap/>
            <w:vAlign w:val="bottom"/>
            <w:hideMark/>
          </w:tcPr>
          <w:p w14:paraId="4FC2E5B0" w14:textId="77777777" w:rsidR="008E6FA8" w:rsidRPr="00B13FC6" w:rsidRDefault="008E6FA8" w:rsidP="008E6FA8">
            <w:pPr>
              <w:spacing w:after="0" w:line="240" w:lineRule="auto"/>
              <w:rPr>
                <w:rFonts w:ascii="Arial" w:eastAsia="Times New Roman" w:hAnsi="Arial" w:cs="Arial"/>
                <w:sz w:val="18"/>
                <w:szCs w:val="18"/>
              </w:rPr>
            </w:pPr>
          </w:p>
        </w:tc>
        <w:tc>
          <w:tcPr>
            <w:tcW w:w="1460" w:type="dxa"/>
            <w:gridSpan w:val="3"/>
            <w:tcBorders>
              <w:top w:val="nil"/>
              <w:left w:val="nil"/>
              <w:bottom w:val="nil"/>
              <w:right w:val="nil"/>
            </w:tcBorders>
            <w:shd w:val="clear" w:color="auto" w:fill="auto"/>
            <w:noWrap/>
            <w:vAlign w:val="bottom"/>
            <w:hideMark/>
          </w:tcPr>
          <w:p w14:paraId="02F2720C" w14:textId="77777777" w:rsidR="008E6FA8" w:rsidRPr="00B13FC6" w:rsidRDefault="008E6FA8" w:rsidP="008E6FA8">
            <w:pPr>
              <w:spacing w:after="0" w:line="240" w:lineRule="auto"/>
              <w:rPr>
                <w:rFonts w:ascii="Arial" w:eastAsia="Times New Roman" w:hAnsi="Arial" w:cs="Arial"/>
                <w:sz w:val="18"/>
                <w:szCs w:val="18"/>
              </w:rPr>
            </w:pPr>
          </w:p>
        </w:tc>
        <w:tc>
          <w:tcPr>
            <w:tcW w:w="1460" w:type="dxa"/>
            <w:gridSpan w:val="2"/>
            <w:tcBorders>
              <w:top w:val="nil"/>
              <w:left w:val="nil"/>
              <w:bottom w:val="nil"/>
              <w:right w:val="nil"/>
            </w:tcBorders>
            <w:shd w:val="clear" w:color="auto" w:fill="auto"/>
            <w:noWrap/>
            <w:vAlign w:val="bottom"/>
            <w:hideMark/>
          </w:tcPr>
          <w:p w14:paraId="2A0DF96C" w14:textId="77777777" w:rsidR="008E6FA8" w:rsidRPr="009C6D5F" w:rsidRDefault="008E6FA8" w:rsidP="008E6FA8">
            <w:pPr>
              <w:spacing w:after="0" w:line="240" w:lineRule="auto"/>
              <w:rPr>
                <w:rFonts w:ascii="Arial" w:eastAsia="Times New Roman" w:hAnsi="Arial" w:cs="Arial"/>
                <w:sz w:val="18"/>
                <w:szCs w:val="18"/>
              </w:rPr>
            </w:pPr>
            <w:r w:rsidRPr="009C6D5F">
              <w:rPr>
                <w:rFonts w:ascii="Arial" w:eastAsia="Times New Roman" w:hAnsi="Arial" w:cs="Arial"/>
                <w:sz w:val="18"/>
                <w:szCs w:val="18"/>
              </w:rPr>
              <w:t>(v tis. EUR)</w:t>
            </w:r>
          </w:p>
        </w:tc>
        <w:tc>
          <w:tcPr>
            <w:tcW w:w="1840" w:type="dxa"/>
            <w:tcBorders>
              <w:top w:val="nil"/>
              <w:left w:val="nil"/>
              <w:bottom w:val="nil"/>
              <w:right w:val="nil"/>
            </w:tcBorders>
            <w:shd w:val="clear" w:color="auto" w:fill="auto"/>
            <w:noWrap/>
            <w:vAlign w:val="bottom"/>
            <w:hideMark/>
          </w:tcPr>
          <w:p w14:paraId="75266D83" w14:textId="77777777" w:rsidR="008E6FA8" w:rsidRPr="009C6D5F" w:rsidRDefault="008E6FA8" w:rsidP="008E6FA8">
            <w:pPr>
              <w:spacing w:after="0" w:line="240" w:lineRule="auto"/>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8E6FA8" w:rsidRPr="009C6D5F" w14:paraId="444AC0A2" w14:textId="77777777" w:rsidTr="008E6FA8">
        <w:trPr>
          <w:gridAfter w:val="2"/>
          <w:wAfter w:w="2313" w:type="dxa"/>
          <w:trHeight w:val="480"/>
        </w:trPr>
        <w:tc>
          <w:tcPr>
            <w:tcW w:w="1660" w:type="dxa"/>
            <w:tcBorders>
              <w:top w:val="single" w:sz="4" w:space="0" w:color="auto"/>
              <w:left w:val="nil"/>
              <w:bottom w:val="single" w:sz="4" w:space="0" w:color="auto"/>
              <w:right w:val="nil"/>
            </w:tcBorders>
            <w:shd w:val="clear" w:color="auto" w:fill="auto"/>
            <w:vAlign w:val="bottom"/>
            <w:hideMark/>
          </w:tcPr>
          <w:p w14:paraId="7BF79F40" w14:textId="77777777" w:rsidR="008E6FA8" w:rsidRPr="009C6D5F" w:rsidRDefault="008E6FA8" w:rsidP="008E6FA8">
            <w:pPr>
              <w:spacing w:after="0" w:line="240" w:lineRule="auto"/>
              <w:rPr>
                <w:rFonts w:ascii="Arial" w:eastAsia="Times New Roman" w:hAnsi="Arial" w:cs="Arial"/>
                <w:b/>
                <w:bCs/>
                <w:sz w:val="18"/>
                <w:szCs w:val="18"/>
              </w:rPr>
            </w:pPr>
            <w:r w:rsidRPr="009C6D5F">
              <w:rPr>
                <w:rFonts w:ascii="Arial" w:eastAsia="Times New Roman" w:hAnsi="Arial" w:cs="Arial"/>
                <w:b/>
                <w:bCs/>
                <w:sz w:val="18"/>
                <w:szCs w:val="18"/>
              </w:rPr>
              <w:t>Stupeň kreditnej kvality</w:t>
            </w:r>
          </w:p>
        </w:tc>
        <w:tc>
          <w:tcPr>
            <w:tcW w:w="1332" w:type="dxa"/>
            <w:tcBorders>
              <w:top w:val="single" w:sz="4" w:space="0" w:color="auto"/>
              <w:left w:val="nil"/>
              <w:bottom w:val="single" w:sz="4" w:space="0" w:color="auto"/>
              <w:right w:val="nil"/>
            </w:tcBorders>
            <w:shd w:val="clear" w:color="auto" w:fill="auto"/>
            <w:noWrap/>
            <w:vAlign w:val="bottom"/>
            <w:hideMark/>
          </w:tcPr>
          <w:p w14:paraId="65A54997"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1</w:t>
            </w:r>
          </w:p>
        </w:tc>
        <w:tc>
          <w:tcPr>
            <w:tcW w:w="1276" w:type="dxa"/>
            <w:gridSpan w:val="2"/>
            <w:tcBorders>
              <w:top w:val="single" w:sz="4" w:space="0" w:color="auto"/>
              <w:left w:val="nil"/>
              <w:bottom w:val="single" w:sz="4" w:space="0" w:color="auto"/>
              <w:right w:val="nil"/>
            </w:tcBorders>
            <w:shd w:val="clear" w:color="auto" w:fill="auto"/>
            <w:noWrap/>
            <w:vAlign w:val="bottom"/>
            <w:hideMark/>
          </w:tcPr>
          <w:p w14:paraId="11052310"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2</w:t>
            </w:r>
          </w:p>
        </w:tc>
        <w:tc>
          <w:tcPr>
            <w:tcW w:w="1276" w:type="dxa"/>
            <w:gridSpan w:val="2"/>
            <w:tcBorders>
              <w:top w:val="single" w:sz="4" w:space="0" w:color="auto"/>
              <w:left w:val="nil"/>
              <w:bottom w:val="single" w:sz="4" w:space="0" w:color="auto"/>
              <w:right w:val="nil"/>
            </w:tcBorders>
            <w:shd w:val="clear" w:color="auto" w:fill="auto"/>
            <w:noWrap/>
            <w:vAlign w:val="bottom"/>
            <w:hideMark/>
          </w:tcPr>
          <w:p w14:paraId="0D1EE44C"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3</w:t>
            </w:r>
          </w:p>
        </w:tc>
        <w:tc>
          <w:tcPr>
            <w:tcW w:w="1275" w:type="dxa"/>
            <w:gridSpan w:val="2"/>
            <w:tcBorders>
              <w:top w:val="single" w:sz="4" w:space="0" w:color="auto"/>
              <w:left w:val="nil"/>
              <w:bottom w:val="single" w:sz="4" w:space="0" w:color="auto"/>
              <w:right w:val="nil"/>
            </w:tcBorders>
            <w:shd w:val="clear" w:color="auto" w:fill="auto"/>
            <w:noWrap/>
            <w:vAlign w:val="bottom"/>
            <w:hideMark/>
          </w:tcPr>
          <w:p w14:paraId="7528F606"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4</w:t>
            </w:r>
          </w:p>
        </w:tc>
        <w:tc>
          <w:tcPr>
            <w:tcW w:w="1134" w:type="dxa"/>
            <w:tcBorders>
              <w:top w:val="single" w:sz="4" w:space="0" w:color="auto"/>
              <w:left w:val="nil"/>
              <w:bottom w:val="single" w:sz="4" w:space="0" w:color="auto"/>
              <w:right w:val="nil"/>
            </w:tcBorders>
            <w:shd w:val="clear" w:color="auto" w:fill="auto"/>
            <w:noWrap/>
            <w:vAlign w:val="bottom"/>
            <w:hideMark/>
          </w:tcPr>
          <w:p w14:paraId="3F7329C8"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5</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4016C32F"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6</w:t>
            </w:r>
          </w:p>
        </w:tc>
      </w:tr>
      <w:tr w:rsidR="00522207" w:rsidRPr="004C3359" w14:paraId="39A35D02" w14:textId="77777777" w:rsidTr="00433577">
        <w:trPr>
          <w:gridAfter w:val="2"/>
          <w:wAfter w:w="2313" w:type="dxa"/>
          <w:trHeight w:val="435"/>
        </w:trPr>
        <w:tc>
          <w:tcPr>
            <w:tcW w:w="1660" w:type="dxa"/>
            <w:tcBorders>
              <w:top w:val="nil"/>
              <w:left w:val="nil"/>
              <w:bottom w:val="single" w:sz="4" w:space="0" w:color="auto"/>
              <w:right w:val="nil"/>
            </w:tcBorders>
            <w:shd w:val="clear" w:color="auto" w:fill="auto"/>
            <w:vAlign w:val="bottom"/>
            <w:hideMark/>
          </w:tcPr>
          <w:p w14:paraId="02CCE989" w14:textId="77777777" w:rsidR="00522207" w:rsidRPr="009C6D5F" w:rsidRDefault="00522207" w:rsidP="00522207">
            <w:pPr>
              <w:spacing w:after="0" w:line="240" w:lineRule="auto"/>
              <w:rPr>
                <w:rFonts w:ascii="Arial" w:eastAsia="Times New Roman" w:hAnsi="Arial" w:cs="Arial"/>
                <w:b/>
                <w:bCs/>
                <w:sz w:val="18"/>
                <w:szCs w:val="18"/>
              </w:rPr>
            </w:pPr>
            <w:r w:rsidRPr="009C6D5F">
              <w:rPr>
                <w:rFonts w:ascii="Arial" w:eastAsia="Times New Roman" w:hAnsi="Arial" w:cs="Arial"/>
                <w:b/>
                <w:bCs/>
                <w:sz w:val="18"/>
                <w:szCs w:val="18"/>
              </w:rPr>
              <w:t>Hodnota expozície</w:t>
            </w:r>
          </w:p>
        </w:tc>
        <w:tc>
          <w:tcPr>
            <w:tcW w:w="1332" w:type="dxa"/>
            <w:tcBorders>
              <w:top w:val="nil"/>
              <w:left w:val="nil"/>
              <w:bottom w:val="single" w:sz="4" w:space="0" w:color="auto"/>
              <w:right w:val="nil"/>
            </w:tcBorders>
            <w:shd w:val="clear" w:color="auto" w:fill="auto"/>
            <w:noWrap/>
            <w:hideMark/>
          </w:tcPr>
          <w:p w14:paraId="0A27E8B7" w14:textId="449F6291" w:rsidR="00522207" w:rsidRPr="009C6D5F" w:rsidRDefault="00522207" w:rsidP="00522207">
            <w:pPr>
              <w:spacing w:after="0"/>
              <w:jc w:val="center"/>
              <w:rPr>
                <w:color w:val="000000" w:themeColor="text1"/>
              </w:rPr>
            </w:pPr>
            <w:r w:rsidRPr="0004009F">
              <w:t>1 010</w:t>
            </w:r>
          </w:p>
        </w:tc>
        <w:tc>
          <w:tcPr>
            <w:tcW w:w="1276" w:type="dxa"/>
            <w:gridSpan w:val="2"/>
            <w:tcBorders>
              <w:top w:val="nil"/>
              <w:left w:val="nil"/>
              <w:bottom w:val="single" w:sz="4" w:space="0" w:color="auto"/>
              <w:right w:val="nil"/>
            </w:tcBorders>
            <w:shd w:val="clear" w:color="auto" w:fill="auto"/>
            <w:noWrap/>
            <w:hideMark/>
          </w:tcPr>
          <w:p w14:paraId="381773F3" w14:textId="4220BB65" w:rsidR="00522207" w:rsidRPr="009C6D5F" w:rsidRDefault="00522207" w:rsidP="00522207">
            <w:pPr>
              <w:spacing w:after="0"/>
              <w:jc w:val="center"/>
              <w:rPr>
                <w:color w:val="000000" w:themeColor="text1"/>
              </w:rPr>
            </w:pPr>
            <w:r w:rsidRPr="0004009F">
              <w:t>176 460</w:t>
            </w:r>
          </w:p>
        </w:tc>
        <w:tc>
          <w:tcPr>
            <w:tcW w:w="1276" w:type="dxa"/>
            <w:gridSpan w:val="2"/>
            <w:tcBorders>
              <w:top w:val="nil"/>
              <w:left w:val="nil"/>
              <w:bottom w:val="single" w:sz="4" w:space="0" w:color="auto"/>
              <w:right w:val="nil"/>
            </w:tcBorders>
            <w:shd w:val="clear" w:color="auto" w:fill="auto"/>
            <w:noWrap/>
            <w:hideMark/>
          </w:tcPr>
          <w:p w14:paraId="76C7F5F9" w14:textId="3519C1BA" w:rsidR="00522207" w:rsidRPr="009C6D5F" w:rsidRDefault="00522207" w:rsidP="00522207">
            <w:pPr>
              <w:spacing w:after="0"/>
              <w:jc w:val="center"/>
              <w:rPr>
                <w:color w:val="000000" w:themeColor="text1"/>
              </w:rPr>
            </w:pPr>
            <w:r w:rsidRPr="0004009F">
              <w:t>37 274</w:t>
            </w:r>
          </w:p>
        </w:tc>
        <w:tc>
          <w:tcPr>
            <w:tcW w:w="1275" w:type="dxa"/>
            <w:gridSpan w:val="2"/>
            <w:tcBorders>
              <w:top w:val="nil"/>
              <w:left w:val="nil"/>
              <w:bottom w:val="single" w:sz="4" w:space="0" w:color="auto"/>
              <w:right w:val="nil"/>
            </w:tcBorders>
            <w:shd w:val="clear" w:color="auto" w:fill="auto"/>
            <w:noWrap/>
            <w:hideMark/>
          </w:tcPr>
          <w:p w14:paraId="70345807" w14:textId="38020C98" w:rsidR="00522207" w:rsidRPr="009C6D5F" w:rsidRDefault="00522207" w:rsidP="00522207">
            <w:pPr>
              <w:spacing w:after="0"/>
              <w:jc w:val="center"/>
              <w:rPr>
                <w:color w:val="000000" w:themeColor="text1"/>
              </w:rPr>
            </w:pPr>
            <w:r w:rsidRPr="0004009F">
              <w:t>837</w:t>
            </w:r>
          </w:p>
        </w:tc>
        <w:tc>
          <w:tcPr>
            <w:tcW w:w="1134" w:type="dxa"/>
            <w:tcBorders>
              <w:top w:val="nil"/>
              <w:left w:val="nil"/>
              <w:bottom w:val="single" w:sz="4" w:space="0" w:color="auto"/>
              <w:right w:val="nil"/>
            </w:tcBorders>
            <w:shd w:val="clear" w:color="auto" w:fill="auto"/>
            <w:noWrap/>
            <w:hideMark/>
          </w:tcPr>
          <w:p w14:paraId="2321E713" w14:textId="2F419270" w:rsidR="00522207" w:rsidRPr="009C6D5F" w:rsidRDefault="00522207" w:rsidP="00522207">
            <w:pPr>
              <w:spacing w:after="0"/>
              <w:jc w:val="center"/>
              <w:rPr>
                <w:color w:val="000000" w:themeColor="text1"/>
              </w:rPr>
            </w:pPr>
            <w:r w:rsidRPr="0004009F">
              <w:t>1 061</w:t>
            </w:r>
          </w:p>
        </w:tc>
        <w:tc>
          <w:tcPr>
            <w:tcW w:w="1134" w:type="dxa"/>
            <w:gridSpan w:val="2"/>
            <w:tcBorders>
              <w:top w:val="nil"/>
              <w:left w:val="nil"/>
              <w:bottom w:val="single" w:sz="4" w:space="0" w:color="auto"/>
              <w:right w:val="nil"/>
            </w:tcBorders>
            <w:shd w:val="clear" w:color="auto" w:fill="auto"/>
            <w:noWrap/>
            <w:hideMark/>
          </w:tcPr>
          <w:p w14:paraId="66AA9858" w14:textId="4784FEC6" w:rsidR="00522207" w:rsidRPr="009C6D5F" w:rsidRDefault="00522207" w:rsidP="00522207">
            <w:pPr>
              <w:spacing w:after="0"/>
              <w:jc w:val="center"/>
              <w:rPr>
                <w:color w:val="000000" w:themeColor="text1"/>
              </w:rPr>
            </w:pPr>
            <w:r w:rsidRPr="0004009F">
              <w:t>0</w:t>
            </w:r>
          </w:p>
        </w:tc>
      </w:tr>
    </w:tbl>
    <w:p w14:paraId="59631B91" w14:textId="578EF970" w:rsidR="0004749B" w:rsidRPr="004C3359" w:rsidRDefault="0004749B" w:rsidP="0004749B">
      <w:pPr>
        <w:pStyle w:val="ListParagraph"/>
        <w:ind w:left="0" w:right="-1"/>
        <w:jc w:val="both"/>
        <w:rPr>
          <w:rFonts w:ascii="Arial" w:hAnsi="Arial" w:cs="Arial"/>
          <w:color w:val="2E74B5" w:themeColor="accent1" w:themeShade="BF"/>
          <w:sz w:val="18"/>
          <w:szCs w:val="18"/>
          <w:highlight w:val="magenta"/>
        </w:rPr>
      </w:pPr>
    </w:p>
    <w:tbl>
      <w:tblPr>
        <w:tblW w:w="9087" w:type="dxa"/>
        <w:tblInd w:w="55" w:type="dxa"/>
        <w:tblCellMar>
          <w:left w:w="70" w:type="dxa"/>
          <w:right w:w="70" w:type="dxa"/>
        </w:tblCellMar>
        <w:tblLook w:val="04A0" w:firstRow="1" w:lastRow="0" w:firstColumn="1" w:lastColumn="0" w:noHBand="0" w:noVBand="1"/>
      </w:tblPr>
      <w:tblGrid>
        <w:gridCol w:w="1660"/>
        <w:gridCol w:w="1640"/>
        <w:gridCol w:w="1540"/>
        <w:gridCol w:w="1800"/>
        <w:gridCol w:w="463"/>
        <w:gridCol w:w="1984"/>
      </w:tblGrid>
      <w:tr w:rsidR="008E6FA8" w:rsidRPr="009C6D5F" w14:paraId="54965083" w14:textId="77777777" w:rsidTr="008E6FA8">
        <w:trPr>
          <w:trHeight w:val="315"/>
        </w:trPr>
        <w:tc>
          <w:tcPr>
            <w:tcW w:w="1660" w:type="dxa"/>
            <w:tcBorders>
              <w:top w:val="nil"/>
              <w:left w:val="nil"/>
              <w:bottom w:val="nil"/>
              <w:right w:val="nil"/>
            </w:tcBorders>
            <w:shd w:val="clear" w:color="auto" w:fill="auto"/>
            <w:noWrap/>
            <w:vAlign w:val="bottom"/>
            <w:hideMark/>
          </w:tcPr>
          <w:p w14:paraId="78F05ADF" w14:textId="77777777" w:rsidR="008E6FA8" w:rsidRPr="009C6D5F" w:rsidRDefault="008E6FA8" w:rsidP="008E6FA8">
            <w:pPr>
              <w:spacing w:after="0" w:line="240" w:lineRule="auto"/>
              <w:rPr>
                <w:rFonts w:ascii="Arial" w:eastAsia="Times New Roman" w:hAnsi="Arial" w:cs="Arial"/>
                <w:b/>
                <w:bCs/>
                <w:sz w:val="20"/>
                <w:szCs w:val="20"/>
              </w:rPr>
            </w:pPr>
          </w:p>
        </w:tc>
        <w:tc>
          <w:tcPr>
            <w:tcW w:w="1640" w:type="dxa"/>
            <w:tcBorders>
              <w:top w:val="nil"/>
              <w:left w:val="nil"/>
              <w:bottom w:val="nil"/>
              <w:right w:val="nil"/>
            </w:tcBorders>
            <w:shd w:val="clear" w:color="auto" w:fill="auto"/>
            <w:noWrap/>
            <w:vAlign w:val="bottom"/>
            <w:hideMark/>
          </w:tcPr>
          <w:p w14:paraId="37DB278F" w14:textId="77777777" w:rsidR="008E6FA8" w:rsidRPr="009C6D5F" w:rsidRDefault="008E6FA8" w:rsidP="008E6FA8">
            <w:pPr>
              <w:spacing w:after="0" w:line="240" w:lineRule="auto"/>
              <w:jc w:val="right"/>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14:paraId="6D895DCE" w14:textId="77777777" w:rsidR="008E6FA8" w:rsidRPr="009C6D5F" w:rsidRDefault="008E6FA8" w:rsidP="008E6FA8">
            <w:pPr>
              <w:spacing w:after="0" w:line="240" w:lineRule="auto"/>
              <w:jc w:val="right"/>
              <w:rPr>
                <w:rFonts w:ascii="Arial" w:eastAsia="Times New Roman" w:hAnsi="Arial" w:cs="Arial"/>
                <w:sz w:val="20"/>
                <w:szCs w:val="20"/>
              </w:rPr>
            </w:pPr>
          </w:p>
        </w:tc>
        <w:tc>
          <w:tcPr>
            <w:tcW w:w="1800" w:type="dxa"/>
            <w:tcBorders>
              <w:top w:val="nil"/>
              <w:left w:val="nil"/>
              <w:bottom w:val="nil"/>
              <w:right w:val="nil"/>
            </w:tcBorders>
            <w:shd w:val="clear" w:color="auto" w:fill="auto"/>
            <w:noWrap/>
            <w:vAlign w:val="bottom"/>
            <w:hideMark/>
          </w:tcPr>
          <w:p w14:paraId="49E0A544" w14:textId="77777777" w:rsidR="008E6FA8" w:rsidRPr="009C6D5F" w:rsidRDefault="008E6FA8" w:rsidP="008E6FA8">
            <w:pPr>
              <w:spacing w:after="0" w:line="240" w:lineRule="auto"/>
              <w:jc w:val="right"/>
              <w:rPr>
                <w:rFonts w:ascii="Arial" w:eastAsia="Times New Roman" w:hAnsi="Arial" w:cs="Arial"/>
                <w:sz w:val="20"/>
                <w:szCs w:val="20"/>
              </w:rPr>
            </w:pPr>
          </w:p>
        </w:tc>
        <w:tc>
          <w:tcPr>
            <w:tcW w:w="2447" w:type="dxa"/>
            <w:gridSpan w:val="2"/>
            <w:tcBorders>
              <w:top w:val="nil"/>
              <w:left w:val="nil"/>
              <w:bottom w:val="nil"/>
              <w:right w:val="nil"/>
            </w:tcBorders>
            <w:shd w:val="clear" w:color="auto" w:fill="auto"/>
            <w:noWrap/>
            <w:vAlign w:val="bottom"/>
            <w:hideMark/>
          </w:tcPr>
          <w:p w14:paraId="4A30FE3D" w14:textId="77777777" w:rsidR="008E6FA8" w:rsidRPr="009C6D5F" w:rsidRDefault="008E6FA8" w:rsidP="008E6FA8">
            <w:pPr>
              <w:spacing w:after="0" w:line="240" w:lineRule="auto"/>
              <w:ind w:left="1669" w:hanging="426"/>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522207" w:rsidRPr="009C6D5F" w14:paraId="1504E177" w14:textId="77777777" w:rsidTr="0075300D">
        <w:trPr>
          <w:trHeight w:val="255"/>
        </w:trPr>
        <w:tc>
          <w:tcPr>
            <w:tcW w:w="7103" w:type="dxa"/>
            <w:gridSpan w:val="5"/>
            <w:tcBorders>
              <w:top w:val="single" w:sz="4" w:space="0" w:color="auto"/>
              <w:left w:val="nil"/>
              <w:bottom w:val="nil"/>
              <w:right w:val="nil"/>
            </w:tcBorders>
            <w:shd w:val="clear" w:color="auto" w:fill="auto"/>
            <w:noWrap/>
            <w:vAlign w:val="center"/>
            <w:hideMark/>
          </w:tcPr>
          <w:p w14:paraId="259B9014" w14:textId="77777777" w:rsidR="00522207" w:rsidRPr="009C6D5F" w:rsidRDefault="00522207" w:rsidP="00522207">
            <w:pPr>
              <w:spacing w:after="0" w:line="240" w:lineRule="auto"/>
              <w:rPr>
                <w:rFonts w:ascii="Arial" w:eastAsia="Times New Roman" w:hAnsi="Arial" w:cs="Arial"/>
                <w:sz w:val="18"/>
                <w:szCs w:val="18"/>
              </w:rPr>
            </w:pPr>
            <w:r w:rsidRPr="009C6D5F">
              <w:rPr>
                <w:rFonts w:ascii="Arial" w:eastAsia="Times New Roman" w:hAnsi="Arial" w:cs="Arial"/>
                <w:sz w:val="18"/>
                <w:szCs w:val="18"/>
              </w:rPr>
              <w:t>Výška expozícií odpočítaných od vlastných zdrojov bez zohľadnenia zabezpečenia</w:t>
            </w:r>
          </w:p>
        </w:tc>
        <w:tc>
          <w:tcPr>
            <w:tcW w:w="1984" w:type="dxa"/>
            <w:tcBorders>
              <w:top w:val="single" w:sz="4" w:space="0" w:color="auto"/>
              <w:left w:val="nil"/>
              <w:bottom w:val="nil"/>
              <w:right w:val="nil"/>
            </w:tcBorders>
            <w:shd w:val="clear" w:color="auto" w:fill="auto"/>
            <w:noWrap/>
            <w:hideMark/>
          </w:tcPr>
          <w:p w14:paraId="5BF3049D" w14:textId="3C83E904" w:rsidR="00522207" w:rsidRPr="009C6D5F" w:rsidRDefault="00522207" w:rsidP="00522207">
            <w:pPr>
              <w:spacing w:after="0" w:line="240" w:lineRule="auto"/>
              <w:jc w:val="right"/>
              <w:rPr>
                <w:color w:val="000000" w:themeColor="text1"/>
              </w:rPr>
            </w:pPr>
            <w:r w:rsidRPr="005E5646">
              <w:t>9 305</w:t>
            </w:r>
          </w:p>
        </w:tc>
      </w:tr>
      <w:tr w:rsidR="00522207" w:rsidRPr="00B13FC6" w14:paraId="2449061E" w14:textId="77777777" w:rsidTr="0075300D">
        <w:trPr>
          <w:trHeight w:val="255"/>
        </w:trPr>
        <w:tc>
          <w:tcPr>
            <w:tcW w:w="7103" w:type="dxa"/>
            <w:gridSpan w:val="5"/>
            <w:tcBorders>
              <w:top w:val="nil"/>
              <w:left w:val="nil"/>
              <w:bottom w:val="single" w:sz="4" w:space="0" w:color="auto"/>
              <w:right w:val="nil"/>
            </w:tcBorders>
            <w:shd w:val="clear" w:color="auto" w:fill="auto"/>
            <w:noWrap/>
            <w:vAlign w:val="center"/>
            <w:hideMark/>
          </w:tcPr>
          <w:p w14:paraId="774A5151" w14:textId="77777777" w:rsidR="00522207" w:rsidRPr="009C6D5F" w:rsidRDefault="00522207" w:rsidP="00522207">
            <w:pPr>
              <w:spacing w:after="0" w:line="240" w:lineRule="auto"/>
              <w:rPr>
                <w:rFonts w:ascii="Arial" w:eastAsia="Times New Roman" w:hAnsi="Arial" w:cs="Arial"/>
                <w:sz w:val="18"/>
                <w:szCs w:val="18"/>
              </w:rPr>
            </w:pPr>
            <w:r w:rsidRPr="009C6D5F">
              <w:rPr>
                <w:rFonts w:ascii="Arial" w:eastAsia="Times New Roman" w:hAnsi="Arial" w:cs="Arial"/>
                <w:sz w:val="18"/>
                <w:szCs w:val="18"/>
              </w:rPr>
              <w:t>Výška expozícií odpočítaných od vlastných zdrojov po zohľadnení zabezpečenia</w:t>
            </w:r>
          </w:p>
        </w:tc>
        <w:tc>
          <w:tcPr>
            <w:tcW w:w="1984" w:type="dxa"/>
            <w:tcBorders>
              <w:top w:val="nil"/>
              <w:left w:val="nil"/>
              <w:bottom w:val="single" w:sz="4" w:space="0" w:color="auto"/>
              <w:right w:val="nil"/>
            </w:tcBorders>
            <w:shd w:val="clear" w:color="auto" w:fill="auto"/>
            <w:noWrap/>
            <w:hideMark/>
          </w:tcPr>
          <w:p w14:paraId="791E8E61" w14:textId="2D52F385" w:rsidR="00522207" w:rsidRPr="00B13FC6" w:rsidRDefault="00522207" w:rsidP="00522207">
            <w:pPr>
              <w:spacing w:after="0" w:line="240" w:lineRule="auto"/>
              <w:jc w:val="right"/>
              <w:rPr>
                <w:color w:val="000000" w:themeColor="text1"/>
              </w:rPr>
            </w:pPr>
            <w:r w:rsidRPr="005E5646">
              <w:t>9 305</w:t>
            </w:r>
          </w:p>
        </w:tc>
      </w:tr>
    </w:tbl>
    <w:p w14:paraId="7142A334" w14:textId="77777777" w:rsidR="00A460E6" w:rsidRDefault="00A460E6" w:rsidP="00B40B5F">
      <w:pPr>
        <w:ind w:right="-426"/>
        <w:jc w:val="center"/>
        <w:rPr>
          <w:rFonts w:ascii="Arial" w:hAnsi="Arial" w:cs="Arial"/>
          <w:b/>
          <w:color w:val="000000" w:themeColor="text1"/>
          <w:sz w:val="26"/>
          <w:szCs w:val="26"/>
        </w:rPr>
      </w:pPr>
    </w:p>
    <w:p w14:paraId="44AB4191" w14:textId="77777777" w:rsidR="00A460E6" w:rsidRDefault="00A460E6" w:rsidP="00B40B5F">
      <w:pPr>
        <w:ind w:right="-426"/>
        <w:jc w:val="center"/>
        <w:rPr>
          <w:rFonts w:ascii="Arial" w:hAnsi="Arial" w:cs="Arial"/>
          <w:b/>
          <w:color w:val="000000" w:themeColor="text1"/>
          <w:sz w:val="26"/>
          <w:szCs w:val="26"/>
        </w:rPr>
      </w:pPr>
    </w:p>
    <w:p w14:paraId="3EA8D7F8" w14:textId="247C03D1" w:rsidR="00B40B5F" w:rsidRPr="00BD35D0" w:rsidRDefault="00B40B5F" w:rsidP="00B40B5F">
      <w:pPr>
        <w:ind w:right="-426"/>
        <w:jc w:val="center"/>
        <w:rPr>
          <w:rFonts w:ascii="Arial" w:hAnsi="Arial" w:cs="Arial"/>
          <w:b/>
          <w:color w:val="000000" w:themeColor="text1"/>
          <w:sz w:val="26"/>
          <w:szCs w:val="26"/>
        </w:rPr>
      </w:pPr>
      <w:r w:rsidRPr="00BD35D0">
        <w:rPr>
          <w:rFonts w:ascii="Arial" w:hAnsi="Arial" w:cs="Arial"/>
          <w:b/>
          <w:color w:val="000000" w:themeColor="text1"/>
          <w:sz w:val="26"/>
          <w:szCs w:val="26"/>
        </w:rPr>
        <w:t>Článok 445 – Expozície voči trhovému riziku</w:t>
      </w:r>
    </w:p>
    <w:p w14:paraId="6E722766" w14:textId="77777777" w:rsidR="00B40B5F" w:rsidRPr="009A3D6A" w:rsidRDefault="00B40B5F" w:rsidP="00B40B5F">
      <w:pPr>
        <w:ind w:right="-426"/>
        <w:jc w:val="center"/>
        <w:rPr>
          <w:rFonts w:ascii="Arial" w:hAnsi="Arial" w:cs="Arial"/>
          <w:b/>
          <w:color w:val="000000" w:themeColor="text1"/>
          <w:sz w:val="20"/>
          <w:szCs w:val="20"/>
          <w:highlight w:val="lightGray"/>
        </w:rPr>
      </w:pPr>
    </w:p>
    <w:p w14:paraId="2C5E59E2" w14:textId="77777777" w:rsidR="00B40B5F" w:rsidRPr="00BD35D0"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BD35D0">
        <w:rPr>
          <w:rFonts w:ascii="Arial" w:hAnsi="Arial" w:cs="Arial"/>
          <w:b/>
          <w:color w:val="000000" w:themeColor="text1"/>
          <w:sz w:val="20"/>
          <w:szCs w:val="20"/>
        </w:rPr>
        <w:t>Pozičné riziko</w:t>
      </w:r>
    </w:p>
    <w:p w14:paraId="3AAB073F" w14:textId="3B702299" w:rsidR="00B40B5F" w:rsidRPr="00BD35D0" w:rsidRDefault="00B40B5F" w:rsidP="00B40B5F">
      <w:pPr>
        <w:spacing w:before="240" w:line="480" w:lineRule="auto"/>
        <w:ind w:left="567" w:right="-425"/>
        <w:rPr>
          <w:rFonts w:ascii="Arial" w:hAnsi="Arial" w:cs="Arial"/>
          <w:color w:val="000000" w:themeColor="text1"/>
          <w:sz w:val="20"/>
          <w:szCs w:val="20"/>
        </w:rPr>
      </w:pPr>
      <w:r w:rsidRPr="00BD35D0">
        <w:rPr>
          <w:rFonts w:ascii="Arial" w:hAnsi="Arial" w:cs="Arial"/>
          <w:color w:val="000000" w:themeColor="text1"/>
          <w:sz w:val="20"/>
          <w:szCs w:val="20"/>
        </w:rPr>
        <w:t>Banka k </w:t>
      </w:r>
      <w:r w:rsidR="00E758CD" w:rsidRPr="00BD35D0">
        <w:rPr>
          <w:rFonts w:ascii="Arial" w:eastAsia="Calibri" w:hAnsi="Arial" w:cs="Arial"/>
          <w:color w:val="000000" w:themeColor="text1"/>
          <w:sz w:val="20"/>
          <w:szCs w:val="20"/>
        </w:rPr>
        <w:t>3</w:t>
      </w:r>
      <w:r w:rsidR="00083892" w:rsidRPr="00BD35D0">
        <w:rPr>
          <w:rFonts w:ascii="Arial" w:eastAsia="Calibri" w:hAnsi="Arial" w:cs="Arial"/>
          <w:color w:val="000000" w:themeColor="text1"/>
          <w:sz w:val="20"/>
          <w:szCs w:val="20"/>
        </w:rPr>
        <w:t>1</w:t>
      </w:r>
      <w:r w:rsidR="00E758CD" w:rsidRPr="00BD35D0">
        <w:rPr>
          <w:rFonts w:ascii="Arial" w:eastAsia="Calibri" w:hAnsi="Arial" w:cs="Arial"/>
          <w:color w:val="000000" w:themeColor="text1"/>
          <w:sz w:val="20"/>
          <w:szCs w:val="20"/>
        </w:rPr>
        <w:t>.</w:t>
      </w:r>
      <w:r w:rsidR="00BD35D0" w:rsidRPr="00BD35D0">
        <w:rPr>
          <w:rFonts w:ascii="Arial" w:eastAsia="Calibri" w:hAnsi="Arial" w:cs="Arial"/>
          <w:color w:val="000000" w:themeColor="text1"/>
          <w:sz w:val="20"/>
          <w:szCs w:val="20"/>
        </w:rPr>
        <w:t>03</w:t>
      </w:r>
      <w:r w:rsidR="00E758CD" w:rsidRPr="00BD35D0">
        <w:rPr>
          <w:rFonts w:ascii="Arial" w:eastAsia="Calibri" w:hAnsi="Arial" w:cs="Arial"/>
          <w:color w:val="000000" w:themeColor="text1"/>
          <w:sz w:val="20"/>
          <w:szCs w:val="20"/>
        </w:rPr>
        <w:t>.202</w:t>
      </w:r>
      <w:r w:rsidR="00BD35D0" w:rsidRPr="00BD35D0">
        <w:rPr>
          <w:rFonts w:ascii="Arial" w:eastAsia="Calibri" w:hAnsi="Arial" w:cs="Arial"/>
          <w:color w:val="000000" w:themeColor="text1"/>
          <w:sz w:val="20"/>
          <w:szCs w:val="20"/>
        </w:rPr>
        <w:t>1</w:t>
      </w:r>
      <w:r w:rsidRPr="00BD35D0">
        <w:rPr>
          <w:rFonts w:ascii="Arial" w:eastAsia="Calibri" w:hAnsi="Arial" w:cs="Arial"/>
          <w:color w:val="000000" w:themeColor="text1"/>
          <w:sz w:val="20"/>
          <w:szCs w:val="20"/>
        </w:rPr>
        <w:t xml:space="preserve"> ne</w:t>
      </w:r>
      <w:r w:rsidRPr="00BD35D0">
        <w:rPr>
          <w:rFonts w:ascii="Arial" w:hAnsi="Arial" w:cs="Arial"/>
          <w:color w:val="000000" w:themeColor="text1"/>
          <w:sz w:val="20"/>
          <w:szCs w:val="20"/>
        </w:rPr>
        <w:t>mala rizikovú expozíciu voči pozičnému riziku.</w:t>
      </w:r>
    </w:p>
    <w:p w14:paraId="4E41D50D" w14:textId="77777777" w:rsidR="00B40B5F" w:rsidRPr="00BD35D0" w:rsidRDefault="00B40B5F" w:rsidP="00B40B5F">
      <w:pPr>
        <w:numPr>
          <w:ilvl w:val="0"/>
          <w:numId w:val="23"/>
        </w:numPr>
        <w:spacing w:before="240" w:line="480" w:lineRule="auto"/>
        <w:ind w:left="567" w:right="-426" w:hanging="501"/>
        <w:contextualSpacing/>
        <w:rPr>
          <w:rFonts w:ascii="Arial" w:hAnsi="Arial" w:cs="Arial"/>
          <w:b/>
          <w:color w:val="000000" w:themeColor="text1"/>
          <w:sz w:val="20"/>
          <w:szCs w:val="20"/>
        </w:rPr>
      </w:pPr>
      <w:r w:rsidRPr="00BD35D0">
        <w:rPr>
          <w:rFonts w:ascii="Arial" w:hAnsi="Arial" w:cs="Arial"/>
          <w:b/>
          <w:color w:val="000000" w:themeColor="text1"/>
          <w:sz w:val="20"/>
          <w:szCs w:val="20"/>
        </w:rPr>
        <w:t>Veľkú majetkovú angažovanosť</w:t>
      </w:r>
    </w:p>
    <w:p w14:paraId="4E973368" w14:textId="4FD83641" w:rsidR="00B40B5F" w:rsidRPr="00BD35D0" w:rsidRDefault="00B40B5F" w:rsidP="00B40B5F">
      <w:pPr>
        <w:spacing w:before="240" w:line="480" w:lineRule="auto"/>
        <w:ind w:right="-426" w:firstLine="567"/>
        <w:rPr>
          <w:rFonts w:ascii="Arial" w:hAnsi="Arial" w:cs="Arial"/>
          <w:color w:val="000000" w:themeColor="text1"/>
          <w:sz w:val="20"/>
          <w:szCs w:val="20"/>
        </w:rPr>
      </w:pPr>
      <w:r w:rsidRPr="00BD35D0">
        <w:rPr>
          <w:rFonts w:ascii="Arial" w:hAnsi="Arial" w:cs="Arial"/>
          <w:color w:val="000000" w:themeColor="text1"/>
          <w:sz w:val="20"/>
          <w:szCs w:val="20"/>
        </w:rPr>
        <w:t>Banka k </w:t>
      </w:r>
      <w:r w:rsidR="00E758CD" w:rsidRPr="00BD35D0">
        <w:rPr>
          <w:rFonts w:ascii="Arial" w:eastAsia="Calibri" w:hAnsi="Arial" w:cs="Arial"/>
          <w:color w:val="000000" w:themeColor="text1"/>
          <w:sz w:val="20"/>
          <w:szCs w:val="20"/>
        </w:rPr>
        <w:t>3</w:t>
      </w:r>
      <w:r w:rsidR="00083892" w:rsidRPr="00BD35D0">
        <w:rPr>
          <w:rFonts w:ascii="Arial" w:eastAsia="Calibri" w:hAnsi="Arial" w:cs="Arial"/>
          <w:color w:val="000000" w:themeColor="text1"/>
          <w:sz w:val="20"/>
          <w:szCs w:val="20"/>
        </w:rPr>
        <w:t>1</w:t>
      </w:r>
      <w:r w:rsidR="00E758CD" w:rsidRPr="00BD35D0">
        <w:rPr>
          <w:rFonts w:ascii="Arial" w:eastAsia="Calibri" w:hAnsi="Arial" w:cs="Arial"/>
          <w:color w:val="000000" w:themeColor="text1"/>
          <w:sz w:val="20"/>
          <w:szCs w:val="20"/>
        </w:rPr>
        <w:t>.</w:t>
      </w:r>
      <w:r w:rsidR="00BD35D0">
        <w:rPr>
          <w:rFonts w:ascii="Arial" w:eastAsia="Calibri" w:hAnsi="Arial" w:cs="Arial"/>
          <w:color w:val="000000" w:themeColor="text1"/>
          <w:sz w:val="20"/>
          <w:szCs w:val="20"/>
        </w:rPr>
        <w:t>03</w:t>
      </w:r>
      <w:r w:rsidR="00E758CD" w:rsidRPr="00BD35D0">
        <w:rPr>
          <w:rFonts w:ascii="Arial" w:eastAsia="Calibri" w:hAnsi="Arial" w:cs="Arial"/>
          <w:color w:val="000000" w:themeColor="text1"/>
          <w:sz w:val="20"/>
          <w:szCs w:val="20"/>
        </w:rPr>
        <w:t>.202</w:t>
      </w:r>
      <w:r w:rsidR="00BD35D0">
        <w:rPr>
          <w:rFonts w:ascii="Arial" w:eastAsia="Calibri" w:hAnsi="Arial" w:cs="Arial"/>
          <w:color w:val="000000" w:themeColor="text1"/>
          <w:sz w:val="20"/>
          <w:szCs w:val="20"/>
        </w:rPr>
        <w:t>1</w:t>
      </w:r>
      <w:r w:rsidRPr="00BD35D0">
        <w:rPr>
          <w:rFonts w:ascii="Arial" w:eastAsia="Calibri" w:hAnsi="Arial" w:cs="Arial"/>
          <w:color w:val="000000" w:themeColor="text1"/>
          <w:sz w:val="20"/>
          <w:szCs w:val="20"/>
        </w:rPr>
        <w:t xml:space="preserve"> </w:t>
      </w:r>
      <w:r w:rsidRPr="00BD35D0">
        <w:rPr>
          <w:rFonts w:ascii="Arial" w:hAnsi="Arial" w:cs="Arial"/>
          <w:color w:val="000000" w:themeColor="text1"/>
          <w:sz w:val="20"/>
          <w:szCs w:val="20"/>
        </w:rPr>
        <w:t>nemala rizikovú expozíciu voči riziku veľkej majetkovej angažovanosti.</w:t>
      </w:r>
    </w:p>
    <w:p w14:paraId="199BF4E6" w14:textId="77777777" w:rsidR="00B40B5F" w:rsidRPr="00BD35D0"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BD35D0">
        <w:rPr>
          <w:rFonts w:ascii="Arial" w:hAnsi="Arial" w:cs="Arial"/>
          <w:b/>
          <w:color w:val="000000" w:themeColor="text1"/>
          <w:sz w:val="20"/>
          <w:szCs w:val="20"/>
        </w:rPr>
        <w:t>Devízové riziko</w:t>
      </w:r>
    </w:p>
    <w:p w14:paraId="0F0EE669" w14:textId="00D8E0FE" w:rsidR="00B40B5F" w:rsidRPr="00BD35D0" w:rsidRDefault="00B40B5F" w:rsidP="00B40B5F">
      <w:pPr>
        <w:spacing w:line="480" w:lineRule="auto"/>
        <w:ind w:left="567" w:right="-426"/>
        <w:rPr>
          <w:rFonts w:ascii="Arial" w:hAnsi="Arial" w:cs="Arial"/>
          <w:color w:val="000000" w:themeColor="text1"/>
          <w:sz w:val="20"/>
          <w:szCs w:val="20"/>
        </w:rPr>
      </w:pPr>
      <w:r w:rsidRPr="00BD35D0">
        <w:rPr>
          <w:rFonts w:ascii="Arial" w:hAnsi="Arial" w:cs="Arial"/>
          <w:color w:val="000000" w:themeColor="text1"/>
          <w:sz w:val="20"/>
          <w:szCs w:val="20"/>
        </w:rPr>
        <w:t>Banka k </w:t>
      </w:r>
      <w:r w:rsidR="00E758CD" w:rsidRPr="00BD35D0">
        <w:rPr>
          <w:rFonts w:ascii="Arial" w:eastAsia="Calibri" w:hAnsi="Arial" w:cs="Arial"/>
          <w:color w:val="000000" w:themeColor="text1"/>
          <w:sz w:val="20"/>
          <w:szCs w:val="20"/>
        </w:rPr>
        <w:t>3</w:t>
      </w:r>
      <w:r w:rsidR="00083892" w:rsidRPr="00BD35D0">
        <w:rPr>
          <w:rFonts w:ascii="Arial" w:eastAsia="Calibri" w:hAnsi="Arial" w:cs="Arial"/>
          <w:color w:val="000000" w:themeColor="text1"/>
          <w:sz w:val="20"/>
          <w:szCs w:val="20"/>
        </w:rPr>
        <w:t>1</w:t>
      </w:r>
      <w:r w:rsidR="00E758CD" w:rsidRPr="00BD35D0">
        <w:rPr>
          <w:rFonts w:ascii="Arial" w:eastAsia="Calibri" w:hAnsi="Arial" w:cs="Arial"/>
          <w:color w:val="000000" w:themeColor="text1"/>
          <w:sz w:val="20"/>
          <w:szCs w:val="20"/>
        </w:rPr>
        <w:t>.</w:t>
      </w:r>
      <w:r w:rsidR="00BD35D0">
        <w:rPr>
          <w:rFonts w:ascii="Arial" w:eastAsia="Calibri" w:hAnsi="Arial" w:cs="Arial"/>
          <w:color w:val="000000" w:themeColor="text1"/>
          <w:sz w:val="20"/>
          <w:szCs w:val="20"/>
        </w:rPr>
        <w:t>03</w:t>
      </w:r>
      <w:r w:rsidR="00E758CD" w:rsidRPr="00BD35D0">
        <w:rPr>
          <w:rFonts w:ascii="Arial" w:eastAsia="Calibri" w:hAnsi="Arial" w:cs="Arial"/>
          <w:color w:val="000000" w:themeColor="text1"/>
          <w:sz w:val="20"/>
          <w:szCs w:val="20"/>
        </w:rPr>
        <w:t>.202</w:t>
      </w:r>
      <w:r w:rsidR="00BD35D0">
        <w:rPr>
          <w:rFonts w:ascii="Arial" w:eastAsia="Calibri" w:hAnsi="Arial" w:cs="Arial"/>
          <w:color w:val="000000" w:themeColor="text1"/>
          <w:sz w:val="20"/>
          <w:szCs w:val="20"/>
        </w:rPr>
        <w:t>1</w:t>
      </w:r>
      <w:r w:rsidRPr="00BD35D0">
        <w:rPr>
          <w:rFonts w:ascii="Arial" w:eastAsia="Calibri" w:hAnsi="Arial" w:cs="Arial"/>
          <w:color w:val="000000" w:themeColor="text1"/>
          <w:sz w:val="20"/>
          <w:szCs w:val="20"/>
        </w:rPr>
        <w:t xml:space="preserve"> </w:t>
      </w:r>
      <w:r w:rsidRPr="00BD35D0">
        <w:rPr>
          <w:rFonts w:ascii="Arial" w:hAnsi="Arial" w:cs="Arial"/>
          <w:color w:val="000000" w:themeColor="text1"/>
          <w:sz w:val="20"/>
          <w:szCs w:val="20"/>
        </w:rPr>
        <w:t>nemala rizikovú expozíciu voči devízovému riziku.</w:t>
      </w:r>
    </w:p>
    <w:p w14:paraId="49AA0F3A" w14:textId="77777777" w:rsidR="00B40B5F" w:rsidRPr="00BD35D0"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BD35D0">
        <w:rPr>
          <w:rFonts w:ascii="Arial" w:hAnsi="Arial" w:cs="Arial"/>
          <w:b/>
          <w:color w:val="000000" w:themeColor="text1"/>
          <w:sz w:val="20"/>
          <w:szCs w:val="20"/>
        </w:rPr>
        <w:t>Riziko vyrovnania</w:t>
      </w:r>
    </w:p>
    <w:p w14:paraId="1C17100B" w14:textId="2DBE09F0" w:rsidR="00B40B5F" w:rsidRPr="00BD35D0" w:rsidRDefault="00B40B5F" w:rsidP="00B40B5F">
      <w:pPr>
        <w:spacing w:line="480" w:lineRule="auto"/>
        <w:ind w:left="567" w:right="-426"/>
        <w:rPr>
          <w:rFonts w:ascii="Arial" w:hAnsi="Arial" w:cs="Arial"/>
          <w:color w:val="000000" w:themeColor="text1"/>
          <w:sz w:val="20"/>
          <w:szCs w:val="20"/>
        </w:rPr>
      </w:pPr>
      <w:r w:rsidRPr="00BD35D0">
        <w:rPr>
          <w:rFonts w:ascii="Arial" w:hAnsi="Arial" w:cs="Arial"/>
          <w:color w:val="000000" w:themeColor="text1"/>
          <w:sz w:val="20"/>
          <w:szCs w:val="20"/>
        </w:rPr>
        <w:t>Banka k </w:t>
      </w:r>
      <w:r w:rsidR="00E758CD" w:rsidRPr="00BD35D0">
        <w:rPr>
          <w:rFonts w:ascii="Arial" w:eastAsia="Calibri" w:hAnsi="Arial" w:cs="Arial"/>
          <w:color w:val="000000" w:themeColor="text1"/>
          <w:sz w:val="20"/>
          <w:szCs w:val="20"/>
        </w:rPr>
        <w:t>3</w:t>
      </w:r>
      <w:r w:rsidR="00083892" w:rsidRPr="00BD35D0">
        <w:rPr>
          <w:rFonts w:ascii="Arial" w:eastAsia="Calibri" w:hAnsi="Arial" w:cs="Arial"/>
          <w:color w:val="000000" w:themeColor="text1"/>
          <w:sz w:val="20"/>
          <w:szCs w:val="20"/>
        </w:rPr>
        <w:t>1</w:t>
      </w:r>
      <w:r w:rsidR="00E758CD" w:rsidRPr="00BD35D0">
        <w:rPr>
          <w:rFonts w:ascii="Arial" w:eastAsia="Calibri" w:hAnsi="Arial" w:cs="Arial"/>
          <w:color w:val="000000" w:themeColor="text1"/>
          <w:sz w:val="20"/>
          <w:szCs w:val="20"/>
        </w:rPr>
        <w:t>.</w:t>
      </w:r>
      <w:r w:rsidR="00BD35D0">
        <w:rPr>
          <w:rFonts w:ascii="Arial" w:eastAsia="Calibri" w:hAnsi="Arial" w:cs="Arial"/>
          <w:color w:val="000000" w:themeColor="text1"/>
          <w:sz w:val="20"/>
          <w:szCs w:val="20"/>
        </w:rPr>
        <w:t>03</w:t>
      </w:r>
      <w:r w:rsidR="00E758CD" w:rsidRPr="00BD35D0">
        <w:rPr>
          <w:rFonts w:ascii="Arial" w:eastAsia="Calibri" w:hAnsi="Arial" w:cs="Arial"/>
          <w:color w:val="000000" w:themeColor="text1"/>
          <w:sz w:val="20"/>
          <w:szCs w:val="20"/>
        </w:rPr>
        <w:t>.202</w:t>
      </w:r>
      <w:r w:rsidR="00BD35D0">
        <w:rPr>
          <w:rFonts w:ascii="Arial" w:eastAsia="Calibri" w:hAnsi="Arial" w:cs="Arial"/>
          <w:color w:val="000000" w:themeColor="text1"/>
          <w:sz w:val="20"/>
          <w:szCs w:val="20"/>
        </w:rPr>
        <w:t>1</w:t>
      </w:r>
      <w:r w:rsidRPr="00BD35D0">
        <w:rPr>
          <w:rFonts w:ascii="Arial" w:eastAsia="Calibri" w:hAnsi="Arial" w:cs="Arial"/>
          <w:color w:val="000000" w:themeColor="text1"/>
          <w:sz w:val="20"/>
          <w:szCs w:val="20"/>
        </w:rPr>
        <w:t xml:space="preserve"> </w:t>
      </w:r>
      <w:r w:rsidRPr="00BD35D0">
        <w:rPr>
          <w:rFonts w:ascii="Arial" w:hAnsi="Arial" w:cs="Arial"/>
          <w:color w:val="000000" w:themeColor="text1"/>
          <w:sz w:val="20"/>
          <w:szCs w:val="20"/>
        </w:rPr>
        <w:t>nemala rizikovú expozíciu voči riziku vyrovnania.</w:t>
      </w:r>
    </w:p>
    <w:p w14:paraId="3BCF4605" w14:textId="77777777" w:rsidR="00B40B5F" w:rsidRPr="00BD35D0"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BD35D0">
        <w:rPr>
          <w:rFonts w:ascii="Arial" w:hAnsi="Arial" w:cs="Arial"/>
          <w:b/>
          <w:color w:val="000000" w:themeColor="text1"/>
          <w:sz w:val="20"/>
          <w:szCs w:val="20"/>
        </w:rPr>
        <w:t>Komoditné riziko</w:t>
      </w:r>
    </w:p>
    <w:p w14:paraId="19BE075C" w14:textId="43ABB9D3" w:rsidR="00B40B5F" w:rsidRPr="00BD35D0" w:rsidRDefault="00B40B5F" w:rsidP="00B40B5F">
      <w:pPr>
        <w:spacing w:line="480" w:lineRule="auto"/>
        <w:ind w:left="567" w:right="-426"/>
        <w:rPr>
          <w:rFonts w:ascii="Arial" w:hAnsi="Arial" w:cs="Arial"/>
          <w:color w:val="000000" w:themeColor="text1"/>
          <w:sz w:val="20"/>
          <w:szCs w:val="20"/>
        </w:rPr>
      </w:pPr>
      <w:r w:rsidRPr="00BD35D0">
        <w:rPr>
          <w:rFonts w:ascii="Arial" w:hAnsi="Arial" w:cs="Arial"/>
          <w:color w:val="000000" w:themeColor="text1"/>
          <w:sz w:val="20"/>
          <w:szCs w:val="20"/>
        </w:rPr>
        <w:t>Banka k </w:t>
      </w:r>
      <w:r w:rsidR="00E758CD" w:rsidRPr="00BD35D0">
        <w:rPr>
          <w:rFonts w:ascii="Arial" w:eastAsia="Calibri" w:hAnsi="Arial" w:cs="Arial"/>
          <w:color w:val="000000" w:themeColor="text1"/>
          <w:sz w:val="20"/>
          <w:szCs w:val="20"/>
        </w:rPr>
        <w:t>3</w:t>
      </w:r>
      <w:r w:rsidR="00083892" w:rsidRPr="00BD35D0">
        <w:rPr>
          <w:rFonts w:ascii="Arial" w:eastAsia="Calibri" w:hAnsi="Arial" w:cs="Arial"/>
          <w:color w:val="000000" w:themeColor="text1"/>
          <w:sz w:val="20"/>
          <w:szCs w:val="20"/>
        </w:rPr>
        <w:t>1</w:t>
      </w:r>
      <w:r w:rsidR="00E758CD" w:rsidRPr="00BD35D0">
        <w:rPr>
          <w:rFonts w:ascii="Arial" w:eastAsia="Calibri" w:hAnsi="Arial" w:cs="Arial"/>
          <w:color w:val="000000" w:themeColor="text1"/>
          <w:sz w:val="20"/>
          <w:szCs w:val="20"/>
        </w:rPr>
        <w:t>.</w:t>
      </w:r>
      <w:r w:rsidR="00BD35D0">
        <w:rPr>
          <w:rFonts w:ascii="Arial" w:eastAsia="Calibri" w:hAnsi="Arial" w:cs="Arial"/>
          <w:color w:val="000000" w:themeColor="text1"/>
          <w:sz w:val="20"/>
          <w:szCs w:val="20"/>
        </w:rPr>
        <w:t>03</w:t>
      </w:r>
      <w:r w:rsidR="00E758CD" w:rsidRPr="00BD35D0">
        <w:rPr>
          <w:rFonts w:ascii="Arial" w:eastAsia="Calibri" w:hAnsi="Arial" w:cs="Arial"/>
          <w:color w:val="000000" w:themeColor="text1"/>
          <w:sz w:val="20"/>
          <w:szCs w:val="20"/>
        </w:rPr>
        <w:t>.202</w:t>
      </w:r>
      <w:r w:rsidR="00BD35D0">
        <w:rPr>
          <w:rFonts w:ascii="Arial" w:eastAsia="Calibri" w:hAnsi="Arial" w:cs="Arial"/>
          <w:color w:val="000000" w:themeColor="text1"/>
          <w:sz w:val="20"/>
          <w:szCs w:val="20"/>
        </w:rPr>
        <w:t>1</w:t>
      </w:r>
      <w:r w:rsidRPr="00BD35D0">
        <w:rPr>
          <w:rFonts w:ascii="Arial" w:eastAsia="Calibri" w:hAnsi="Arial" w:cs="Arial"/>
          <w:color w:val="000000" w:themeColor="text1"/>
          <w:sz w:val="20"/>
          <w:szCs w:val="20"/>
        </w:rPr>
        <w:t xml:space="preserve"> </w:t>
      </w:r>
      <w:r w:rsidRPr="00BD35D0">
        <w:rPr>
          <w:rFonts w:ascii="Arial" w:hAnsi="Arial" w:cs="Arial"/>
          <w:color w:val="000000" w:themeColor="text1"/>
          <w:sz w:val="20"/>
          <w:szCs w:val="20"/>
        </w:rPr>
        <w:t>nemala rizikovú expozíciu voči komoditnému riziku.</w:t>
      </w:r>
    </w:p>
    <w:p w14:paraId="2A2D0A39" w14:textId="77777777" w:rsidR="00B40B5F" w:rsidRPr="00BD35D0"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BD35D0">
        <w:rPr>
          <w:rFonts w:ascii="Arial" w:hAnsi="Arial" w:cs="Arial"/>
          <w:b/>
          <w:color w:val="000000" w:themeColor="text1"/>
          <w:sz w:val="20"/>
          <w:szCs w:val="20"/>
        </w:rPr>
        <w:t xml:space="preserve">Špecifické úrokové riziko </w:t>
      </w:r>
      <w:proofErr w:type="spellStart"/>
      <w:r w:rsidRPr="00BD35D0">
        <w:rPr>
          <w:rFonts w:ascii="Arial" w:hAnsi="Arial" w:cs="Arial"/>
          <w:b/>
          <w:color w:val="000000" w:themeColor="text1"/>
          <w:sz w:val="20"/>
          <w:szCs w:val="20"/>
        </w:rPr>
        <w:t>sekuritizačných</w:t>
      </w:r>
      <w:proofErr w:type="spellEnd"/>
      <w:r w:rsidRPr="00BD35D0">
        <w:rPr>
          <w:rFonts w:ascii="Arial" w:hAnsi="Arial" w:cs="Arial"/>
          <w:b/>
          <w:color w:val="000000" w:themeColor="text1"/>
          <w:sz w:val="20"/>
          <w:szCs w:val="20"/>
        </w:rPr>
        <w:t xml:space="preserve"> pozícií </w:t>
      </w:r>
    </w:p>
    <w:p w14:paraId="1CEDF038" w14:textId="77777777" w:rsidR="00B40B5F" w:rsidRPr="00BD35D0" w:rsidRDefault="00B40B5F" w:rsidP="00B40B5F">
      <w:pPr>
        <w:spacing w:line="480" w:lineRule="auto"/>
        <w:ind w:right="-426" w:firstLine="567"/>
        <w:rPr>
          <w:rFonts w:ascii="Arial" w:hAnsi="Arial" w:cs="Arial"/>
          <w:color w:val="000000" w:themeColor="text1"/>
          <w:sz w:val="20"/>
          <w:szCs w:val="20"/>
        </w:rPr>
      </w:pPr>
      <w:r w:rsidRPr="00BD35D0">
        <w:rPr>
          <w:rFonts w:ascii="Arial" w:hAnsi="Arial" w:cs="Arial"/>
          <w:color w:val="000000" w:themeColor="text1"/>
          <w:sz w:val="20"/>
          <w:szCs w:val="20"/>
        </w:rPr>
        <w:t>Pre banku v súčasnosti neaktuálne.</w:t>
      </w:r>
    </w:p>
    <w:p w14:paraId="6F256111" w14:textId="77777777" w:rsidR="00B40B5F" w:rsidRPr="009A3D6A" w:rsidRDefault="00B40B5F" w:rsidP="00B40B5F">
      <w:pPr>
        <w:ind w:right="-426"/>
        <w:jc w:val="center"/>
        <w:rPr>
          <w:rFonts w:ascii="Arial" w:hAnsi="Arial" w:cs="Arial"/>
          <w:b/>
          <w:color w:val="000000" w:themeColor="text1"/>
          <w:sz w:val="26"/>
          <w:szCs w:val="26"/>
          <w:highlight w:val="lightGray"/>
        </w:rPr>
      </w:pPr>
    </w:p>
    <w:p w14:paraId="0809C962" w14:textId="27A8C385" w:rsidR="00B40B5F" w:rsidRPr="00BD35D0" w:rsidRDefault="00B40B5F" w:rsidP="00B40B5F">
      <w:pPr>
        <w:ind w:right="-426"/>
        <w:jc w:val="center"/>
        <w:rPr>
          <w:rFonts w:ascii="Arial" w:hAnsi="Arial" w:cs="Arial"/>
          <w:b/>
          <w:color w:val="000000" w:themeColor="text1"/>
          <w:sz w:val="26"/>
          <w:szCs w:val="26"/>
        </w:rPr>
      </w:pPr>
      <w:r w:rsidRPr="00BD35D0">
        <w:rPr>
          <w:rFonts w:ascii="Arial" w:hAnsi="Arial" w:cs="Arial"/>
          <w:b/>
          <w:color w:val="000000" w:themeColor="text1"/>
          <w:sz w:val="26"/>
          <w:szCs w:val="26"/>
        </w:rPr>
        <w:t>Článok 446 – Operačné riziko</w:t>
      </w:r>
    </w:p>
    <w:p w14:paraId="1061A022" w14:textId="77777777" w:rsidR="009C6D5F" w:rsidRPr="009A3D6A" w:rsidRDefault="009C6D5F" w:rsidP="00B40B5F">
      <w:pPr>
        <w:ind w:right="-426"/>
        <w:jc w:val="center"/>
        <w:rPr>
          <w:rFonts w:ascii="Arial" w:hAnsi="Arial" w:cs="Arial"/>
          <w:b/>
          <w:color w:val="000000" w:themeColor="text1"/>
          <w:sz w:val="20"/>
          <w:szCs w:val="20"/>
          <w:highlight w:val="lightGray"/>
        </w:rPr>
      </w:pPr>
    </w:p>
    <w:p w14:paraId="7A7F5FFB" w14:textId="77777777" w:rsidR="00B40B5F" w:rsidRPr="00BD35D0" w:rsidRDefault="00B40B5F" w:rsidP="00B40B5F">
      <w:pPr>
        <w:numPr>
          <w:ilvl w:val="0"/>
          <w:numId w:val="24"/>
        </w:numPr>
        <w:ind w:left="567" w:right="-426" w:hanging="501"/>
        <w:contextualSpacing/>
        <w:rPr>
          <w:rFonts w:ascii="Arial" w:hAnsi="Arial" w:cs="Arial"/>
          <w:b/>
          <w:color w:val="000000" w:themeColor="text1"/>
          <w:sz w:val="20"/>
          <w:szCs w:val="20"/>
        </w:rPr>
      </w:pPr>
      <w:r w:rsidRPr="00BD35D0">
        <w:rPr>
          <w:rFonts w:ascii="Arial" w:hAnsi="Arial" w:cs="Arial"/>
          <w:b/>
          <w:color w:val="000000" w:themeColor="text1"/>
          <w:sz w:val="20"/>
          <w:szCs w:val="20"/>
        </w:rPr>
        <w:t>Prístup k hodnoteniu požiadaviek na vlastné zdroje na operačné riziko</w:t>
      </w:r>
    </w:p>
    <w:p w14:paraId="039226E9" w14:textId="77777777" w:rsidR="00B40B5F" w:rsidRPr="00BD35D0" w:rsidRDefault="00B40B5F" w:rsidP="00B40B5F">
      <w:pPr>
        <w:ind w:left="720" w:right="-426"/>
        <w:contextualSpacing/>
        <w:jc w:val="both"/>
        <w:rPr>
          <w:rFonts w:ascii="Arial" w:hAnsi="Arial" w:cs="Arial"/>
          <w:b/>
          <w:color w:val="000000" w:themeColor="text1"/>
          <w:sz w:val="20"/>
          <w:szCs w:val="20"/>
        </w:rPr>
      </w:pPr>
    </w:p>
    <w:p w14:paraId="18EB5C8A" w14:textId="67026690" w:rsidR="00B40B5F" w:rsidRPr="00BD35D0" w:rsidRDefault="00B40B5F" w:rsidP="00B40B5F">
      <w:pPr>
        <w:overflowPunct w:val="0"/>
        <w:autoSpaceDE w:val="0"/>
        <w:autoSpaceDN w:val="0"/>
        <w:ind w:left="567" w:right="-1"/>
        <w:contextualSpacing/>
        <w:jc w:val="both"/>
        <w:rPr>
          <w:rFonts w:ascii="Arial" w:eastAsia="Calibri" w:hAnsi="Arial" w:cs="Arial"/>
          <w:bCs/>
          <w:color w:val="000000" w:themeColor="text1"/>
          <w:sz w:val="20"/>
          <w:szCs w:val="20"/>
        </w:rPr>
      </w:pPr>
      <w:r w:rsidRPr="00BD35D0">
        <w:rPr>
          <w:rFonts w:ascii="Arial" w:eastAsia="Calibri" w:hAnsi="Arial" w:cs="Arial"/>
          <w:bCs/>
          <w:color w:val="000000" w:themeColor="text1"/>
          <w:sz w:val="20"/>
          <w:szCs w:val="20"/>
        </w:rPr>
        <w:t>Banka počíta</w:t>
      </w:r>
      <w:r w:rsidR="00083892" w:rsidRPr="00BD35D0">
        <w:rPr>
          <w:rFonts w:ascii="Arial" w:eastAsia="Calibri" w:hAnsi="Arial" w:cs="Arial"/>
          <w:bCs/>
          <w:color w:val="000000" w:themeColor="text1"/>
          <w:sz w:val="20"/>
          <w:szCs w:val="20"/>
        </w:rPr>
        <w:t>la</w:t>
      </w:r>
      <w:r w:rsidRPr="00BD35D0">
        <w:rPr>
          <w:rFonts w:ascii="Arial" w:eastAsia="Calibri" w:hAnsi="Arial" w:cs="Arial"/>
          <w:bCs/>
          <w:color w:val="000000" w:themeColor="text1"/>
          <w:sz w:val="20"/>
          <w:szCs w:val="20"/>
        </w:rPr>
        <w:t xml:space="preserve"> požiadavku na vlastné zdroje krytia operačného rizika prostredníctvom </w:t>
      </w:r>
      <w:r w:rsidR="00083892" w:rsidRPr="00BD35D0">
        <w:rPr>
          <w:rFonts w:ascii="Arial" w:eastAsia="Calibri" w:hAnsi="Arial" w:cs="Arial"/>
          <w:bCs/>
          <w:color w:val="000000" w:themeColor="text1"/>
          <w:sz w:val="20"/>
          <w:szCs w:val="20"/>
        </w:rPr>
        <w:t>štandardizovaného</w:t>
      </w:r>
      <w:r w:rsidRPr="00BD35D0">
        <w:rPr>
          <w:rFonts w:ascii="Arial" w:eastAsia="Calibri" w:hAnsi="Arial" w:cs="Arial"/>
          <w:bCs/>
          <w:color w:val="000000" w:themeColor="text1"/>
          <w:sz w:val="20"/>
          <w:szCs w:val="20"/>
        </w:rPr>
        <w:t xml:space="preserve"> prístupu merania operačných rizík. </w:t>
      </w:r>
    </w:p>
    <w:p w14:paraId="1849CDD6" w14:textId="77777777" w:rsidR="00B40B5F" w:rsidRPr="00BD35D0" w:rsidRDefault="00B40B5F" w:rsidP="00B40B5F">
      <w:pPr>
        <w:ind w:left="567" w:right="-1"/>
        <w:contextualSpacing/>
        <w:jc w:val="both"/>
        <w:rPr>
          <w:rFonts w:ascii="Arial" w:eastAsia="Calibri" w:hAnsi="Arial" w:cs="Arial"/>
          <w:bCs/>
          <w:color w:val="000000" w:themeColor="text1"/>
          <w:sz w:val="20"/>
          <w:szCs w:val="20"/>
        </w:rPr>
      </w:pPr>
    </w:p>
    <w:p w14:paraId="10140595" w14:textId="054584B0" w:rsidR="000B53BA" w:rsidRPr="00B13FC6" w:rsidRDefault="00A22097" w:rsidP="000B53BA">
      <w:pPr>
        <w:pStyle w:val="ListParagraph"/>
        <w:ind w:left="567" w:right="-1"/>
        <w:jc w:val="both"/>
        <w:rPr>
          <w:rFonts w:ascii="Arial" w:hAnsi="Arial" w:cs="Arial"/>
          <w:sz w:val="20"/>
          <w:szCs w:val="20"/>
        </w:rPr>
      </w:pPr>
      <w:r w:rsidRPr="00BD35D0">
        <w:rPr>
          <w:rFonts w:ascii="Arial" w:hAnsi="Arial" w:cs="Arial"/>
          <w:color w:val="000000" w:themeColor="text1"/>
          <w:sz w:val="20"/>
          <w:szCs w:val="20"/>
        </w:rPr>
        <w:t>Požiadavka na vlastné zdroje na operačné riziko v rámci štandardizovaného prístupu predstavuje priemer za tri roky rizikovo váženého príslušného indikátora vypočítaného každoročne v rámci obchodných línií. V banke sa v každom roku zahrnie do celkovej požiadavky na vlastné zdroje záporná požiadavka na vlastné zdroje v príslušnej obchodnej línii, ktorá vyplýva zo záporného príslušného indikátora. Ak je agregovaná požiadavka na vlastné zdroje zo všetkých obchodných línií počas príslušného roku záporná, za tento rok sa zahrnie do priemeru nula. Trojročný priemer sa počíta na základe posledných troch dvanásťmesačných pozorovaní na konci účtovného obdobia.</w:t>
      </w:r>
    </w:p>
    <w:p w14:paraId="6B26E63D" w14:textId="77777777" w:rsidR="000B53BA" w:rsidRPr="00B13FC6" w:rsidRDefault="000B53BA" w:rsidP="000B53BA">
      <w:pPr>
        <w:pStyle w:val="ListParagraph"/>
        <w:ind w:left="567" w:right="-1"/>
        <w:jc w:val="both"/>
        <w:rPr>
          <w:rFonts w:ascii="Arial" w:hAnsi="Arial" w:cs="Arial"/>
          <w:sz w:val="20"/>
          <w:szCs w:val="20"/>
        </w:rPr>
      </w:pPr>
    </w:p>
    <w:p w14:paraId="4E5BAC71" w14:textId="77777777" w:rsidR="000B53BA" w:rsidRPr="00B13FC6" w:rsidRDefault="000B53BA" w:rsidP="000B53BA">
      <w:pPr>
        <w:pStyle w:val="ListParagraph"/>
        <w:ind w:left="567" w:right="-1"/>
        <w:jc w:val="both"/>
        <w:rPr>
          <w:rFonts w:ascii="Arial" w:hAnsi="Arial" w:cs="Arial"/>
          <w:sz w:val="20"/>
          <w:szCs w:val="20"/>
        </w:rPr>
      </w:pPr>
    </w:p>
    <w:p w14:paraId="2DF355AD" w14:textId="77777777" w:rsidR="000B53BA" w:rsidRPr="00B13FC6" w:rsidRDefault="000B53BA" w:rsidP="000B53BA">
      <w:pPr>
        <w:pStyle w:val="ListParagraph"/>
        <w:ind w:left="567" w:right="-1"/>
        <w:jc w:val="both"/>
        <w:rPr>
          <w:rFonts w:ascii="Arial" w:hAnsi="Arial" w:cs="Arial"/>
          <w:sz w:val="20"/>
          <w:szCs w:val="20"/>
        </w:rPr>
      </w:pPr>
    </w:p>
    <w:p w14:paraId="6B2A9387" w14:textId="77777777" w:rsidR="000B53BA" w:rsidRPr="00BF7453" w:rsidRDefault="000B53BA" w:rsidP="00984DBF">
      <w:pPr>
        <w:jc w:val="center"/>
        <w:rPr>
          <w:rFonts w:ascii="Arial" w:hAnsi="Arial" w:cs="Arial"/>
          <w:b/>
          <w:sz w:val="26"/>
          <w:szCs w:val="26"/>
        </w:rPr>
      </w:pPr>
      <w:r w:rsidRPr="00A460E6">
        <w:rPr>
          <w:rFonts w:ascii="Arial" w:hAnsi="Arial" w:cs="Arial"/>
          <w:b/>
          <w:sz w:val="26"/>
          <w:szCs w:val="26"/>
        </w:rPr>
        <w:t>Článok 447 – Expozície voči kapitálovým cenným papierom, ktoré nie sú zahrnuté v obchodnej knihe</w:t>
      </w:r>
    </w:p>
    <w:p w14:paraId="5B6A9F66" w14:textId="77777777" w:rsidR="000B53BA" w:rsidRPr="00BF7453" w:rsidRDefault="000B53BA" w:rsidP="00984DBF">
      <w:pPr>
        <w:pStyle w:val="ListParagraph"/>
        <w:numPr>
          <w:ilvl w:val="0"/>
          <w:numId w:val="25"/>
        </w:numPr>
        <w:ind w:left="567" w:hanging="501"/>
        <w:jc w:val="both"/>
        <w:rPr>
          <w:rFonts w:ascii="Arial" w:hAnsi="Arial" w:cs="Arial"/>
          <w:b/>
          <w:sz w:val="20"/>
          <w:szCs w:val="20"/>
        </w:rPr>
      </w:pPr>
      <w:r w:rsidRPr="00BF7453">
        <w:rPr>
          <w:rFonts w:ascii="Arial" w:hAnsi="Arial" w:cs="Arial"/>
          <w:b/>
          <w:sz w:val="20"/>
          <w:szCs w:val="20"/>
        </w:rPr>
        <w:t>Rozlíšenie expozícií na základe ich účelu, kapitálových ziskov a strategických dôvodov; prehľad použitých účtovných techník a metodík ocenenia vrátane základných predpokladov a postupov ovplyvňujúcich ocenenie, či akýchkoľvek významných zmien v týchto postupoch</w:t>
      </w:r>
    </w:p>
    <w:p w14:paraId="2471E18D" w14:textId="5137DB68" w:rsidR="000B53BA" w:rsidRPr="00BF7453" w:rsidRDefault="00741F42" w:rsidP="000B53BA">
      <w:pPr>
        <w:ind w:left="567" w:right="-426"/>
        <w:rPr>
          <w:rFonts w:ascii="Arial" w:hAnsi="Arial" w:cs="Arial"/>
          <w:sz w:val="20"/>
          <w:szCs w:val="20"/>
        </w:rPr>
      </w:pPr>
      <w:r w:rsidRPr="00741F42">
        <w:rPr>
          <w:rFonts w:ascii="Arial" w:hAnsi="Arial" w:cs="Arial"/>
          <w:sz w:val="20"/>
          <w:szCs w:val="20"/>
        </w:rPr>
        <w:t>Expozície v akciách banka drží zo strategických dôvodov</w:t>
      </w:r>
      <w:r w:rsidR="000B53BA" w:rsidRPr="00BF7453">
        <w:rPr>
          <w:rFonts w:ascii="Arial" w:hAnsi="Arial" w:cs="Arial"/>
          <w:sz w:val="20"/>
          <w:szCs w:val="20"/>
        </w:rPr>
        <w:t>.</w:t>
      </w:r>
    </w:p>
    <w:p w14:paraId="3FE69B5D" w14:textId="77777777" w:rsidR="000B53BA" w:rsidRPr="00BF7453" w:rsidRDefault="000B53BA" w:rsidP="00984DBF">
      <w:pPr>
        <w:pStyle w:val="ListParagraph"/>
        <w:numPr>
          <w:ilvl w:val="0"/>
          <w:numId w:val="25"/>
        </w:numPr>
        <w:ind w:left="567" w:hanging="501"/>
        <w:rPr>
          <w:rFonts w:ascii="Arial" w:hAnsi="Arial" w:cs="Arial"/>
          <w:b/>
          <w:sz w:val="20"/>
          <w:szCs w:val="20"/>
        </w:rPr>
      </w:pPr>
      <w:r w:rsidRPr="00BF7453">
        <w:rPr>
          <w:rFonts w:ascii="Arial" w:hAnsi="Arial" w:cs="Arial"/>
          <w:b/>
          <w:sz w:val="20"/>
          <w:szCs w:val="20"/>
        </w:rPr>
        <w:t>Hodnota v súvahe, reálna cena a pri expozíciách obchodovaných na burze porovnanie s trhovou cenou v prípade, že sa významne odlišuje od reálnej ceny</w:t>
      </w:r>
    </w:p>
    <w:p w14:paraId="0CE32105" w14:textId="0E466425" w:rsidR="000B53BA" w:rsidRPr="00BF7453" w:rsidRDefault="00924E12" w:rsidP="00741F42">
      <w:pPr>
        <w:ind w:left="567"/>
        <w:jc w:val="both"/>
        <w:rPr>
          <w:rFonts w:ascii="Arial" w:hAnsi="Arial" w:cs="Arial"/>
          <w:b/>
          <w:sz w:val="20"/>
          <w:szCs w:val="20"/>
        </w:rPr>
      </w:pPr>
      <w:r w:rsidRPr="00924E12">
        <w:rPr>
          <w:rFonts w:ascii="Arial" w:hAnsi="Arial" w:cs="Arial"/>
          <w:sz w:val="20"/>
          <w:szCs w:val="20"/>
        </w:rPr>
        <w:t>Banka nedrží žiadne expozície voči kapitálovým cenným papierom</w:t>
      </w:r>
      <w:r w:rsidR="00741F42">
        <w:rPr>
          <w:rFonts w:ascii="Arial" w:hAnsi="Arial" w:cs="Arial"/>
          <w:sz w:val="20"/>
          <w:szCs w:val="20"/>
        </w:rPr>
        <w:t>, ktoré by sa významne odlišovali od reálnej ceny uvedenej v súvahe</w:t>
      </w:r>
      <w:r w:rsidRPr="00924E12">
        <w:rPr>
          <w:rFonts w:ascii="Arial" w:hAnsi="Arial" w:cs="Arial"/>
          <w:sz w:val="20"/>
          <w:szCs w:val="20"/>
        </w:rPr>
        <w:t>.</w:t>
      </w:r>
    </w:p>
    <w:p w14:paraId="00767551" w14:textId="77777777" w:rsidR="000B53BA" w:rsidRPr="00BF7453" w:rsidRDefault="000B53BA" w:rsidP="00984DBF">
      <w:pPr>
        <w:pStyle w:val="ListParagraph"/>
        <w:numPr>
          <w:ilvl w:val="0"/>
          <w:numId w:val="25"/>
        </w:numPr>
        <w:ind w:left="567" w:hanging="501"/>
        <w:rPr>
          <w:rFonts w:ascii="Arial" w:hAnsi="Arial" w:cs="Arial"/>
          <w:b/>
          <w:sz w:val="20"/>
          <w:szCs w:val="20"/>
        </w:rPr>
      </w:pPr>
      <w:r w:rsidRPr="00BF7453">
        <w:rPr>
          <w:rFonts w:ascii="Arial" w:hAnsi="Arial" w:cs="Arial"/>
          <w:b/>
          <w:sz w:val="20"/>
          <w:szCs w:val="20"/>
        </w:rPr>
        <w:t>Druh, charakter a hodnota expozícií obchodovaných na burze, expozícií vo forme verejne neobchodovateľných akcií v dostatočne diverzifikovaných portfóliách a iných expozícií</w:t>
      </w:r>
    </w:p>
    <w:p w14:paraId="5B7F5640" w14:textId="77777777" w:rsidR="000B53BA" w:rsidRPr="00BF7453" w:rsidRDefault="000B53BA" w:rsidP="000B53BA">
      <w:pPr>
        <w:spacing w:line="240" w:lineRule="auto"/>
        <w:ind w:right="-2" w:firstLine="567"/>
        <w:jc w:val="both"/>
        <w:rPr>
          <w:rFonts w:ascii="Arial" w:hAnsi="Arial" w:cs="Arial"/>
          <w:sz w:val="20"/>
          <w:szCs w:val="20"/>
        </w:rPr>
      </w:pPr>
      <w:r w:rsidRPr="00BF7453">
        <w:rPr>
          <w:rFonts w:ascii="Arial" w:hAnsi="Arial" w:cs="Arial"/>
          <w:sz w:val="20"/>
          <w:szCs w:val="20"/>
        </w:rPr>
        <w:t>Banka nemá vo svojom portfóliu žiadne cenné papiere v zmysle uvedeného článku 447 písm. c).</w:t>
      </w:r>
    </w:p>
    <w:p w14:paraId="3F1CCD70" w14:textId="77777777" w:rsidR="000B53BA" w:rsidRPr="00BF7453" w:rsidRDefault="000B53BA" w:rsidP="00984DBF">
      <w:pPr>
        <w:pStyle w:val="ListParagraph"/>
        <w:numPr>
          <w:ilvl w:val="0"/>
          <w:numId w:val="25"/>
        </w:numPr>
        <w:ind w:left="567" w:hanging="501"/>
        <w:jc w:val="both"/>
        <w:rPr>
          <w:rFonts w:ascii="Arial" w:hAnsi="Arial" w:cs="Arial"/>
          <w:b/>
          <w:sz w:val="20"/>
          <w:szCs w:val="20"/>
        </w:rPr>
      </w:pPr>
      <w:r w:rsidRPr="00BF7453">
        <w:rPr>
          <w:rFonts w:ascii="Arial" w:hAnsi="Arial" w:cs="Arial"/>
          <w:b/>
          <w:sz w:val="20"/>
          <w:szCs w:val="20"/>
        </w:rPr>
        <w:t>Kumulatívne realizované zisky alebo straty vyplývajúce z predaja a zatvorenia pozície počas daného obdobia</w:t>
      </w:r>
    </w:p>
    <w:p w14:paraId="4F020E1D" w14:textId="77777777" w:rsidR="000B53BA" w:rsidRPr="00BF7453" w:rsidRDefault="000B53BA" w:rsidP="000B53BA">
      <w:pPr>
        <w:spacing w:line="240" w:lineRule="auto"/>
        <w:ind w:right="-2" w:firstLine="567"/>
        <w:jc w:val="both"/>
        <w:rPr>
          <w:rFonts w:ascii="Arial" w:hAnsi="Arial" w:cs="Arial"/>
          <w:sz w:val="20"/>
          <w:szCs w:val="20"/>
        </w:rPr>
      </w:pPr>
      <w:r w:rsidRPr="00BF7453">
        <w:rPr>
          <w:rFonts w:ascii="Arial" w:hAnsi="Arial" w:cs="Arial"/>
          <w:sz w:val="20"/>
          <w:szCs w:val="20"/>
        </w:rPr>
        <w:t>Banka nevykazuje žiadne zisky ani straty z expozícií v akciách nezahrnutých v obchodnej knihe.</w:t>
      </w:r>
    </w:p>
    <w:p w14:paraId="1CE452DE" w14:textId="77777777" w:rsidR="000B53BA" w:rsidRPr="00BF7453" w:rsidRDefault="000B53BA" w:rsidP="00984DBF">
      <w:pPr>
        <w:pStyle w:val="ListParagraph"/>
        <w:numPr>
          <w:ilvl w:val="0"/>
          <w:numId w:val="25"/>
        </w:numPr>
        <w:ind w:left="567" w:hanging="501"/>
        <w:jc w:val="both"/>
        <w:rPr>
          <w:rFonts w:ascii="Arial" w:hAnsi="Arial" w:cs="Arial"/>
          <w:b/>
          <w:sz w:val="20"/>
          <w:szCs w:val="20"/>
        </w:rPr>
      </w:pPr>
      <w:r w:rsidRPr="00BF7453">
        <w:rPr>
          <w:rFonts w:ascii="Arial" w:hAnsi="Arial" w:cs="Arial"/>
          <w:b/>
          <w:sz w:val="20"/>
          <w:szCs w:val="20"/>
        </w:rPr>
        <w:t>Celkové nerealizované zisky alebo straty, celkové zisky alebo straty vyplývajúce zo skrytého precenenia a ktorákoľvek z týchto hodnôt zahrnutá do pôvodných (základných) alebo dodatočných vlastných zdrojov</w:t>
      </w:r>
    </w:p>
    <w:p w14:paraId="7E4BCA70" w14:textId="77777777" w:rsidR="000B53BA" w:rsidRPr="00B13FC6" w:rsidRDefault="000B53BA" w:rsidP="00984DBF">
      <w:pPr>
        <w:ind w:left="567"/>
        <w:jc w:val="both"/>
        <w:rPr>
          <w:rFonts w:ascii="Arial" w:hAnsi="Arial" w:cs="Arial"/>
          <w:sz w:val="20"/>
          <w:szCs w:val="20"/>
        </w:rPr>
      </w:pPr>
      <w:r w:rsidRPr="00BF7453">
        <w:rPr>
          <w:rFonts w:ascii="Arial" w:hAnsi="Arial" w:cs="Arial"/>
          <w:sz w:val="20"/>
          <w:szCs w:val="20"/>
        </w:rPr>
        <w:t>Banka nevykazuje žiadne nerealizované zisky ani straty z expozícií v akciách nezahrnutých v obchodnej knihe.</w:t>
      </w:r>
    </w:p>
    <w:p w14:paraId="3CA228F1" w14:textId="77777777" w:rsidR="000B53BA" w:rsidRPr="00B13FC6" w:rsidRDefault="000B53BA" w:rsidP="000B53BA">
      <w:pPr>
        <w:ind w:left="567" w:right="-426"/>
        <w:rPr>
          <w:rFonts w:ascii="Arial" w:hAnsi="Arial" w:cs="Arial"/>
          <w:sz w:val="20"/>
          <w:szCs w:val="20"/>
        </w:rPr>
      </w:pPr>
    </w:p>
    <w:p w14:paraId="7AE8AE2B" w14:textId="77777777" w:rsidR="00B40B5F" w:rsidRPr="00BD35D0" w:rsidRDefault="00B40B5F" w:rsidP="00984DBF">
      <w:pPr>
        <w:jc w:val="center"/>
        <w:rPr>
          <w:rFonts w:ascii="Arial" w:hAnsi="Arial" w:cs="Arial"/>
          <w:b/>
          <w:sz w:val="20"/>
          <w:szCs w:val="20"/>
        </w:rPr>
      </w:pPr>
      <w:r w:rsidRPr="00BD35D0">
        <w:rPr>
          <w:rFonts w:ascii="Arial" w:hAnsi="Arial" w:cs="Arial"/>
          <w:b/>
          <w:sz w:val="26"/>
          <w:szCs w:val="26"/>
        </w:rPr>
        <w:t>Článok 448 – Expozície voči úrokovému riziku pozícií, ktoré nie sú zahrnuté v obchodnej knihe</w:t>
      </w:r>
    </w:p>
    <w:p w14:paraId="4B6EAD38" w14:textId="6736A45F" w:rsidR="00B40B5F" w:rsidRPr="00BD35D0" w:rsidRDefault="00B40B5F" w:rsidP="00984DBF">
      <w:pPr>
        <w:pStyle w:val="ListParagraph"/>
        <w:numPr>
          <w:ilvl w:val="0"/>
          <w:numId w:val="26"/>
        </w:numPr>
        <w:spacing w:line="240" w:lineRule="auto"/>
        <w:ind w:left="567" w:hanging="501"/>
        <w:jc w:val="both"/>
        <w:rPr>
          <w:rFonts w:ascii="Arial" w:hAnsi="Arial" w:cs="Arial"/>
          <w:b/>
          <w:sz w:val="20"/>
          <w:szCs w:val="20"/>
        </w:rPr>
      </w:pPr>
      <w:r w:rsidRPr="00BD35D0">
        <w:rPr>
          <w:rFonts w:ascii="Arial" w:hAnsi="Arial" w:cs="Arial"/>
          <w:b/>
          <w:sz w:val="20"/>
          <w:szCs w:val="20"/>
        </w:rPr>
        <w:t xml:space="preserve">Povaha úrokového rizika a základné predpoklady (vrátane predpokladov týkajúcich sa predčasného splatenia úverov </w:t>
      </w:r>
      <w:r w:rsidR="007F4D81" w:rsidRPr="00BD35D0">
        <w:rPr>
          <w:rFonts w:ascii="Arial" w:hAnsi="Arial" w:cs="Arial"/>
          <w:b/>
          <w:sz w:val="20"/>
          <w:szCs w:val="20"/>
        </w:rPr>
        <w:t>a</w:t>
      </w:r>
      <w:r w:rsidRPr="00BD35D0">
        <w:rPr>
          <w:rFonts w:ascii="Arial" w:hAnsi="Arial" w:cs="Arial"/>
          <w:b/>
          <w:sz w:val="20"/>
          <w:szCs w:val="20"/>
        </w:rPr>
        <w:t xml:space="preserve"> vývoja vkladov splatných na požiadanie) a častosť merania úrokového rizika</w:t>
      </w:r>
    </w:p>
    <w:p w14:paraId="772AC47E" w14:textId="77777777" w:rsidR="000A036F" w:rsidRPr="00BD35D0" w:rsidRDefault="000A036F" w:rsidP="000A036F">
      <w:pPr>
        <w:spacing w:line="240" w:lineRule="auto"/>
        <w:ind w:left="360"/>
        <w:jc w:val="both"/>
        <w:rPr>
          <w:rFonts w:ascii="Arial" w:hAnsi="Arial" w:cs="Arial"/>
          <w:b/>
          <w:sz w:val="20"/>
          <w:szCs w:val="20"/>
        </w:rPr>
      </w:pPr>
      <w:r w:rsidRPr="00BD35D0">
        <w:rPr>
          <w:rFonts w:ascii="Arial" w:hAnsi="Arial" w:cs="Arial"/>
          <w:b/>
          <w:sz w:val="20"/>
          <w:szCs w:val="20"/>
        </w:rPr>
        <w:t>Pri meraní úrokového rizika banka počíta na mesačnej báze:</w:t>
      </w:r>
    </w:p>
    <w:p w14:paraId="3EC11AC6" w14:textId="109D9768" w:rsidR="000A036F" w:rsidRPr="00BD35D0" w:rsidRDefault="000A036F" w:rsidP="000A036F">
      <w:pPr>
        <w:autoSpaceDE w:val="0"/>
        <w:autoSpaceDN w:val="0"/>
        <w:adjustRightInd w:val="0"/>
        <w:spacing w:after="0" w:line="240" w:lineRule="auto"/>
        <w:ind w:left="360"/>
        <w:jc w:val="both"/>
        <w:rPr>
          <w:rFonts w:ascii="Arial" w:hAnsi="Arial" w:cs="Arial"/>
          <w:sz w:val="20"/>
          <w:szCs w:val="20"/>
        </w:rPr>
      </w:pPr>
      <w:r w:rsidRPr="00BD35D0">
        <w:rPr>
          <w:rFonts w:ascii="Arial" w:hAnsi="Arial" w:cs="Arial"/>
          <w:sz w:val="20"/>
          <w:szCs w:val="20"/>
        </w:rPr>
        <w:t>- vplyv zmeny úrokových sadzieb o 200 b. p na zmenu čistých úrokových príjmov do 1 roka</w:t>
      </w:r>
    </w:p>
    <w:p w14:paraId="112CE14B" w14:textId="77777777" w:rsidR="000A036F" w:rsidRPr="00BD35D0" w:rsidRDefault="000A036F" w:rsidP="000A036F">
      <w:pPr>
        <w:autoSpaceDE w:val="0"/>
        <w:autoSpaceDN w:val="0"/>
        <w:adjustRightInd w:val="0"/>
        <w:spacing w:after="0" w:line="240" w:lineRule="auto"/>
        <w:ind w:left="360"/>
        <w:jc w:val="both"/>
        <w:rPr>
          <w:rFonts w:ascii="Arial" w:hAnsi="Arial" w:cs="Arial"/>
          <w:sz w:val="20"/>
          <w:szCs w:val="20"/>
        </w:rPr>
      </w:pPr>
      <w:r w:rsidRPr="00BD35D0">
        <w:rPr>
          <w:rFonts w:ascii="Arial" w:hAnsi="Arial" w:cs="Arial"/>
          <w:sz w:val="20"/>
          <w:szCs w:val="20"/>
        </w:rPr>
        <w:t xml:space="preserve">- vplyv zmeny úrokových sadzieb na zmenu ekonomickej hodnoty (čistej súčasnej hodnoty) </w:t>
      </w:r>
    </w:p>
    <w:p w14:paraId="01CBB90A" w14:textId="77777777" w:rsidR="000A036F" w:rsidRPr="00BD35D0" w:rsidRDefault="000A036F" w:rsidP="000A036F">
      <w:pPr>
        <w:autoSpaceDE w:val="0"/>
        <w:autoSpaceDN w:val="0"/>
        <w:adjustRightInd w:val="0"/>
        <w:spacing w:after="0" w:line="240" w:lineRule="auto"/>
        <w:ind w:left="360"/>
        <w:jc w:val="both"/>
        <w:rPr>
          <w:rFonts w:ascii="Arial" w:hAnsi="Arial" w:cs="Arial"/>
          <w:sz w:val="20"/>
          <w:szCs w:val="20"/>
        </w:rPr>
      </w:pPr>
    </w:p>
    <w:p w14:paraId="6FF81216" w14:textId="7F867059" w:rsidR="00B40B5F" w:rsidRPr="00BD35D0" w:rsidRDefault="000A036F" w:rsidP="000A036F">
      <w:pPr>
        <w:spacing w:line="240" w:lineRule="auto"/>
        <w:ind w:left="360" w:right="-426"/>
        <w:jc w:val="both"/>
        <w:rPr>
          <w:rFonts w:ascii="Arial" w:hAnsi="Arial" w:cs="Arial"/>
          <w:sz w:val="20"/>
          <w:szCs w:val="20"/>
        </w:rPr>
      </w:pPr>
      <w:r w:rsidRPr="00BD35D0">
        <w:rPr>
          <w:rFonts w:ascii="Arial" w:hAnsi="Arial" w:cs="Arial"/>
          <w:sz w:val="20"/>
          <w:szCs w:val="20"/>
        </w:rPr>
        <w:t>Vklady bez zmluvnej splatnosti banka zaraďuje do časových intervalov na základe štatistického modelu, založeného na výpočte korelácií medzi trhovými sadzbami a úrokovými sadzbami jednotlivých vkladových produktov.</w:t>
      </w:r>
    </w:p>
    <w:p w14:paraId="1ADAC08B" w14:textId="77777777" w:rsidR="00B40B5F" w:rsidRPr="00BD35D0" w:rsidRDefault="00B40B5F" w:rsidP="00984DBF">
      <w:pPr>
        <w:pStyle w:val="ListParagraph"/>
        <w:numPr>
          <w:ilvl w:val="0"/>
          <w:numId w:val="26"/>
        </w:numPr>
        <w:spacing w:line="240" w:lineRule="auto"/>
        <w:ind w:left="567" w:hanging="501"/>
        <w:jc w:val="both"/>
        <w:rPr>
          <w:rFonts w:ascii="Arial" w:hAnsi="Arial" w:cs="Arial"/>
          <w:b/>
          <w:sz w:val="20"/>
          <w:szCs w:val="20"/>
        </w:rPr>
      </w:pPr>
      <w:r w:rsidRPr="00BD35D0">
        <w:rPr>
          <w:rFonts w:ascii="Arial" w:hAnsi="Arial" w:cs="Arial"/>
          <w:b/>
          <w:sz w:val="20"/>
          <w:szCs w:val="20"/>
        </w:rPr>
        <w:t>Zmena v príjmoch, zmena ekonomickej hodnoty alebo inej relevantnej veličiny použitej manažmentom pre šok smerom nahor alebo nadol v súlade s metódou manažmentu pre meranie úrokového rizika, rozčlenené podľa meny.</w:t>
      </w:r>
    </w:p>
    <w:p w14:paraId="27AE61DE" w14:textId="77777777" w:rsidR="000A036F" w:rsidRPr="00BD35D0" w:rsidRDefault="000A036F" w:rsidP="000A036F">
      <w:pPr>
        <w:spacing w:line="240" w:lineRule="auto"/>
        <w:ind w:left="567"/>
        <w:jc w:val="both"/>
        <w:rPr>
          <w:rFonts w:ascii="Arial" w:hAnsi="Arial" w:cs="Arial"/>
          <w:sz w:val="20"/>
          <w:szCs w:val="20"/>
        </w:rPr>
      </w:pPr>
      <w:r w:rsidRPr="00BD35D0">
        <w:rPr>
          <w:rFonts w:ascii="Arial" w:hAnsi="Arial" w:cs="Arial"/>
          <w:sz w:val="20"/>
          <w:szCs w:val="20"/>
        </w:rPr>
        <w:t>Banka pri výpočte zmeny ekonomickej hodnoty používa 6 scenárov zmeny výnosovej krivky:</w:t>
      </w:r>
    </w:p>
    <w:p w14:paraId="67ED483B" w14:textId="07D6C116" w:rsidR="000A036F" w:rsidRPr="00BD35D0" w:rsidRDefault="000A036F" w:rsidP="000A036F">
      <w:pPr>
        <w:pStyle w:val="ListParagraph"/>
        <w:numPr>
          <w:ilvl w:val="0"/>
          <w:numId w:val="14"/>
        </w:numPr>
        <w:spacing w:after="0" w:line="240" w:lineRule="auto"/>
        <w:jc w:val="both"/>
        <w:rPr>
          <w:rFonts w:ascii="Arial" w:eastAsia="Times New Roman" w:hAnsi="Arial" w:cs="Arial"/>
          <w:sz w:val="20"/>
          <w:szCs w:val="20"/>
        </w:rPr>
      </w:pPr>
      <w:r w:rsidRPr="00BD35D0">
        <w:rPr>
          <w:rFonts w:ascii="Arial" w:hAnsi="Arial" w:cs="Arial"/>
          <w:sz w:val="20"/>
          <w:szCs w:val="20"/>
        </w:rPr>
        <w:t>paralelný posun krivky nahor o 200 b. p. (</w:t>
      </w:r>
      <w:proofErr w:type="spellStart"/>
      <w:r w:rsidRPr="00BD35D0">
        <w:rPr>
          <w:rFonts w:ascii="Arial" w:hAnsi="Arial" w:cs="Arial"/>
          <w:sz w:val="20"/>
          <w:szCs w:val="20"/>
        </w:rPr>
        <w:t>parallel</w:t>
      </w:r>
      <w:proofErr w:type="spellEnd"/>
      <w:r w:rsidR="00676829" w:rsidRPr="00BD35D0">
        <w:rPr>
          <w:rFonts w:ascii="Arial" w:hAnsi="Arial" w:cs="Arial"/>
          <w:sz w:val="20"/>
          <w:szCs w:val="20"/>
        </w:rPr>
        <w:t xml:space="preserve"> </w:t>
      </w:r>
      <w:proofErr w:type="spellStart"/>
      <w:r w:rsidR="00676829" w:rsidRPr="00BD35D0">
        <w:rPr>
          <w:rFonts w:ascii="Arial" w:hAnsi="Arial" w:cs="Arial"/>
          <w:sz w:val="20"/>
          <w:szCs w:val="20"/>
        </w:rPr>
        <w:t>shock</w:t>
      </w:r>
      <w:proofErr w:type="spellEnd"/>
      <w:r w:rsidRPr="00BD35D0">
        <w:rPr>
          <w:rFonts w:ascii="Arial" w:hAnsi="Arial" w:cs="Arial"/>
          <w:sz w:val="20"/>
          <w:szCs w:val="20"/>
        </w:rPr>
        <w:t xml:space="preserve"> </w:t>
      </w:r>
      <w:proofErr w:type="spellStart"/>
      <w:r w:rsidRPr="00BD35D0">
        <w:rPr>
          <w:rFonts w:ascii="Arial" w:hAnsi="Arial" w:cs="Arial"/>
          <w:sz w:val="20"/>
          <w:szCs w:val="20"/>
        </w:rPr>
        <w:t>up</w:t>
      </w:r>
      <w:proofErr w:type="spellEnd"/>
      <w:r w:rsidRPr="00BD35D0">
        <w:rPr>
          <w:rFonts w:ascii="Arial" w:hAnsi="Arial" w:cs="Arial"/>
          <w:sz w:val="20"/>
          <w:szCs w:val="20"/>
        </w:rPr>
        <w:t>)</w:t>
      </w:r>
    </w:p>
    <w:p w14:paraId="14F8DD52" w14:textId="459EB159" w:rsidR="000A036F" w:rsidRPr="00BD35D0" w:rsidRDefault="000A036F" w:rsidP="000A036F">
      <w:pPr>
        <w:pStyle w:val="ListParagraph"/>
        <w:numPr>
          <w:ilvl w:val="0"/>
          <w:numId w:val="14"/>
        </w:numPr>
        <w:spacing w:after="0" w:line="240" w:lineRule="auto"/>
        <w:jc w:val="both"/>
        <w:rPr>
          <w:rFonts w:ascii="Arial" w:hAnsi="Arial" w:cs="Arial"/>
          <w:sz w:val="20"/>
          <w:szCs w:val="20"/>
        </w:rPr>
      </w:pPr>
      <w:r w:rsidRPr="00BD35D0">
        <w:rPr>
          <w:rFonts w:ascii="Arial" w:hAnsi="Arial" w:cs="Arial"/>
          <w:sz w:val="20"/>
          <w:szCs w:val="20"/>
        </w:rPr>
        <w:t>paralelný posun krivky nadol o 200 b. p. (</w:t>
      </w:r>
      <w:proofErr w:type="spellStart"/>
      <w:r w:rsidRPr="00BD35D0">
        <w:rPr>
          <w:rFonts w:ascii="Arial" w:hAnsi="Arial" w:cs="Arial"/>
          <w:sz w:val="20"/>
          <w:szCs w:val="20"/>
        </w:rPr>
        <w:t>parallel</w:t>
      </w:r>
      <w:proofErr w:type="spellEnd"/>
      <w:r w:rsidRPr="00BD35D0">
        <w:rPr>
          <w:rFonts w:ascii="Arial" w:hAnsi="Arial" w:cs="Arial"/>
          <w:sz w:val="20"/>
          <w:szCs w:val="20"/>
        </w:rPr>
        <w:t xml:space="preserve"> </w:t>
      </w:r>
      <w:proofErr w:type="spellStart"/>
      <w:r w:rsidR="00676829" w:rsidRPr="00BD35D0">
        <w:rPr>
          <w:rFonts w:ascii="Arial" w:hAnsi="Arial" w:cs="Arial"/>
          <w:sz w:val="20"/>
          <w:szCs w:val="20"/>
        </w:rPr>
        <w:t>shock</w:t>
      </w:r>
      <w:proofErr w:type="spellEnd"/>
      <w:r w:rsidR="00676829" w:rsidRPr="00BD35D0">
        <w:rPr>
          <w:rFonts w:ascii="Arial" w:hAnsi="Arial" w:cs="Arial"/>
          <w:sz w:val="20"/>
          <w:szCs w:val="20"/>
        </w:rPr>
        <w:t xml:space="preserve"> </w:t>
      </w:r>
      <w:proofErr w:type="spellStart"/>
      <w:r w:rsidRPr="00BD35D0">
        <w:rPr>
          <w:rFonts w:ascii="Arial" w:hAnsi="Arial" w:cs="Arial"/>
          <w:sz w:val="20"/>
          <w:szCs w:val="20"/>
        </w:rPr>
        <w:t>down</w:t>
      </w:r>
      <w:proofErr w:type="spellEnd"/>
      <w:r w:rsidRPr="00BD35D0">
        <w:rPr>
          <w:rFonts w:ascii="Arial" w:hAnsi="Arial" w:cs="Arial"/>
          <w:sz w:val="20"/>
          <w:szCs w:val="20"/>
        </w:rPr>
        <w:t>)</w:t>
      </w:r>
    </w:p>
    <w:p w14:paraId="2A4F5D1F" w14:textId="3CFA1887" w:rsidR="000A036F" w:rsidRPr="00BD35D0" w:rsidRDefault="000A036F" w:rsidP="000A036F">
      <w:pPr>
        <w:pStyle w:val="ListParagraph"/>
        <w:numPr>
          <w:ilvl w:val="0"/>
          <w:numId w:val="14"/>
        </w:numPr>
        <w:spacing w:after="0" w:line="240" w:lineRule="auto"/>
        <w:jc w:val="both"/>
        <w:rPr>
          <w:rFonts w:ascii="Arial" w:hAnsi="Arial" w:cs="Arial"/>
          <w:sz w:val="20"/>
          <w:szCs w:val="20"/>
        </w:rPr>
      </w:pPr>
      <w:r w:rsidRPr="00BD35D0">
        <w:rPr>
          <w:rFonts w:ascii="Arial" w:hAnsi="Arial" w:cs="Arial"/>
          <w:sz w:val="20"/>
          <w:szCs w:val="20"/>
        </w:rPr>
        <w:t>zošikmenie krivky (</w:t>
      </w:r>
      <w:proofErr w:type="spellStart"/>
      <w:r w:rsidRPr="00BD35D0">
        <w:rPr>
          <w:rFonts w:ascii="Arial" w:hAnsi="Arial" w:cs="Arial"/>
          <w:sz w:val="20"/>
          <w:szCs w:val="20"/>
        </w:rPr>
        <w:t>Steepener</w:t>
      </w:r>
      <w:proofErr w:type="spellEnd"/>
      <w:r w:rsidR="00676829" w:rsidRPr="00BD35D0">
        <w:rPr>
          <w:rFonts w:ascii="Arial" w:hAnsi="Arial" w:cs="Arial"/>
          <w:sz w:val="20"/>
          <w:szCs w:val="20"/>
        </w:rPr>
        <w:t xml:space="preserve"> </w:t>
      </w:r>
      <w:proofErr w:type="spellStart"/>
      <w:r w:rsidR="00676829" w:rsidRPr="00BD35D0">
        <w:rPr>
          <w:rFonts w:ascii="Arial" w:hAnsi="Arial" w:cs="Arial"/>
          <w:sz w:val="20"/>
          <w:szCs w:val="20"/>
        </w:rPr>
        <w:t>shock</w:t>
      </w:r>
      <w:proofErr w:type="spellEnd"/>
      <w:r w:rsidRPr="00BD35D0">
        <w:rPr>
          <w:rFonts w:ascii="Arial" w:hAnsi="Arial" w:cs="Arial"/>
          <w:sz w:val="20"/>
          <w:szCs w:val="20"/>
        </w:rPr>
        <w:t>)</w:t>
      </w:r>
    </w:p>
    <w:p w14:paraId="41B428EE" w14:textId="586DEC8B" w:rsidR="000A036F" w:rsidRPr="00BD35D0" w:rsidRDefault="000A036F" w:rsidP="000A036F">
      <w:pPr>
        <w:pStyle w:val="ListParagraph"/>
        <w:numPr>
          <w:ilvl w:val="0"/>
          <w:numId w:val="14"/>
        </w:numPr>
        <w:spacing w:after="0" w:line="240" w:lineRule="auto"/>
        <w:jc w:val="both"/>
        <w:rPr>
          <w:rFonts w:ascii="Arial" w:hAnsi="Arial" w:cs="Arial"/>
          <w:sz w:val="20"/>
          <w:szCs w:val="20"/>
        </w:rPr>
      </w:pPr>
      <w:r w:rsidRPr="00BD35D0">
        <w:rPr>
          <w:rFonts w:ascii="Arial" w:hAnsi="Arial" w:cs="Arial"/>
          <w:sz w:val="20"/>
          <w:szCs w:val="20"/>
        </w:rPr>
        <w:t>sploštenie krivky (</w:t>
      </w:r>
      <w:proofErr w:type="spellStart"/>
      <w:r w:rsidRPr="00BD35D0">
        <w:rPr>
          <w:rFonts w:ascii="Arial" w:hAnsi="Arial" w:cs="Arial"/>
          <w:sz w:val="20"/>
          <w:szCs w:val="20"/>
        </w:rPr>
        <w:t>Flattener</w:t>
      </w:r>
      <w:proofErr w:type="spellEnd"/>
      <w:r w:rsidR="00676829" w:rsidRPr="00BD35D0">
        <w:rPr>
          <w:rFonts w:ascii="Arial" w:hAnsi="Arial" w:cs="Arial"/>
          <w:sz w:val="20"/>
          <w:szCs w:val="20"/>
        </w:rPr>
        <w:t xml:space="preserve"> </w:t>
      </w:r>
      <w:proofErr w:type="spellStart"/>
      <w:r w:rsidR="00676829" w:rsidRPr="00BD35D0">
        <w:rPr>
          <w:rFonts w:ascii="Arial" w:hAnsi="Arial" w:cs="Arial"/>
          <w:sz w:val="20"/>
          <w:szCs w:val="20"/>
        </w:rPr>
        <w:t>shock</w:t>
      </w:r>
      <w:proofErr w:type="spellEnd"/>
      <w:r w:rsidRPr="00BD35D0">
        <w:rPr>
          <w:rFonts w:ascii="Arial" w:hAnsi="Arial" w:cs="Arial"/>
          <w:sz w:val="20"/>
          <w:szCs w:val="20"/>
        </w:rPr>
        <w:t>)</w:t>
      </w:r>
    </w:p>
    <w:p w14:paraId="379314EB" w14:textId="40E9BB28" w:rsidR="000A036F" w:rsidRPr="00BD35D0" w:rsidRDefault="000A036F" w:rsidP="000A036F">
      <w:pPr>
        <w:pStyle w:val="ListParagraph"/>
        <w:numPr>
          <w:ilvl w:val="0"/>
          <w:numId w:val="14"/>
        </w:numPr>
        <w:spacing w:after="0" w:line="240" w:lineRule="auto"/>
        <w:jc w:val="both"/>
        <w:rPr>
          <w:rFonts w:ascii="Arial" w:hAnsi="Arial" w:cs="Arial"/>
          <w:sz w:val="20"/>
          <w:szCs w:val="20"/>
        </w:rPr>
      </w:pPr>
      <w:r w:rsidRPr="00BD35D0">
        <w:rPr>
          <w:rFonts w:ascii="Arial" w:hAnsi="Arial" w:cs="Arial"/>
          <w:sz w:val="20"/>
          <w:szCs w:val="20"/>
        </w:rPr>
        <w:t>nárast krátkodobých sadzieb (</w:t>
      </w:r>
      <w:proofErr w:type="spellStart"/>
      <w:r w:rsidRPr="00BD35D0">
        <w:rPr>
          <w:rFonts w:ascii="Arial" w:hAnsi="Arial" w:cs="Arial"/>
          <w:sz w:val="20"/>
          <w:szCs w:val="20"/>
        </w:rPr>
        <w:t>Short</w:t>
      </w:r>
      <w:proofErr w:type="spellEnd"/>
      <w:r w:rsidRPr="00BD35D0">
        <w:rPr>
          <w:rFonts w:ascii="Arial" w:hAnsi="Arial" w:cs="Arial"/>
          <w:sz w:val="20"/>
          <w:szCs w:val="20"/>
        </w:rPr>
        <w:t xml:space="preserve"> </w:t>
      </w:r>
      <w:proofErr w:type="spellStart"/>
      <w:r w:rsidRPr="00BD35D0">
        <w:rPr>
          <w:rFonts w:ascii="Arial" w:hAnsi="Arial" w:cs="Arial"/>
          <w:sz w:val="20"/>
          <w:szCs w:val="20"/>
        </w:rPr>
        <w:t>rate</w:t>
      </w:r>
      <w:r w:rsidR="00676829" w:rsidRPr="00BD35D0">
        <w:rPr>
          <w:rFonts w:ascii="Arial" w:hAnsi="Arial" w:cs="Arial"/>
          <w:sz w:val="20"/>
          <w:szCs w:val="20"/>
        </w:rPr>
        <w:t>s</w:t>
      </w:r>
      <w:proofErr w:type="spellEnd"/>
      <w:r w:rsidR="00676829" w:rsidRPr="00BD35D0">
        <w:rPr>
          <w:rFonts w:ascii="Arial" w:hAnsi="Arial" w:cs="Arial"/>
          <w:sz w:val="20"/>
          <w:szCs w:val="20"/>
        </w:rPr>
        <w:t xml:space="preserve"> </w:t>
      </w:r>
      <w:proofErr w:type="spellStart"/>
      <w:r w:rsidR="00676829" w:rsidRPr="00BD35D0">
        <w:rPr>
          <w:rFonts w:ascii="Arial" w:hAnsi="Arial" w:cs="Arial"/>
          <w:sz w:val="20"/>
          <w:szCs w:val="20"/>
        </w:rPr>
        <w:t>shock</w:t>
      </w:r>
      <w:proofErr w:type="spellEnd"/>
      <w:r w:rsidRPr="00BD35D0">
        <w:rPr>
          <w:rFonts w:ascii="Arial" w:hAnsi="Arial" w:cs="Arial"/>
          <w:sz w:val="20"/>
          <w:szCs w:val="20"/>
        </w:rPr>
        <w:t xml:space="preserve"> </w:t>
      </w:r>
      <w:proofErr w:type="spellStart"/>
      <w:r w:rsidRPr="00BD35D0">
        <w:rPr>
          <w:rFonts w:ascii="Arial" w:hAnsi="Arial" w:cs="Arial"/>
          <w:sz w:val="20"/>
          <w:szCs w:val="20"/>
        </w:rPr>
        <w:t>up</w:t>
      </w:r>
      <w:proofErr w:type="spellEnd"/>
      <w:r w:rsidRPr="00BD35D0">
        <w:rPr>
          <w:rFonts w:ascii="Arial" w:hAnsi="Arial" w:cs="Arial"/>
          <w:sz w:val="20"/>
          <w:szCs w:val="20"/>
        </w:rPr>
        <w:t>)</w:t>
      </w:r>
    </w:p>
    <w:p w14:paraId="209648C6" w14:textId="045B49C2" w:rsidR="000A036F" w:rsidRPr="00BD35D0" w:rsidRDefault="000A036F" w:rsidP="000A036F">
      <w:pPr>
        <w:pStyle w:val="ListParagraph"/>
        <w:numPr>
          <w:ilvl w:val="0"/>
          <w:numId w:val="14"/>
        </w:numPr>
        <w:spacing w:after="0" w:line="240" w:lineRule="auto"/>
        <w:jc w:val="both"/>
        <w:rPr>
          <w:rFonts w:ascii="Arial" w:hAnsi="Arial" w:cs="Arial"/>
          <w:sz w:val="20"/>
          <w:szCs w:val="20"/>
        </w:rPr>
      </w:pPr>
      <w:r w:rsidRPr="00BD35D0">
        <w:rPr>
          <w:rFonts w:ascii="Arial" w:hAnsi="Arial" w:cs="Arial"/>
          <w:sz w:val="20"/>
          <w:szCs w:val="20"/>
        </w:rPr>
        <w:t>pokles krátkodobých sadzieb (</w:t>
      </w:r>
      <w:proofErr w:type="spellStart"/>
      <w:r w:rsidRPr="00BD35D0">
        <w:rPr>
          <w:rFonts w:ascii="Arial" w:hAnsi="Arial" w:cs="Arial"/>
          <w:sz w:val="20"/>
          <w:szCs w:val="20"/>
        </w:rPr>
        <w:t>Short</w:t>
      </w:r>
      <w:proofErr w:type="spellEnd"/>
      <w:r w:rsidRPr="00BD35D0">
        <w:rPr>
          <w:rFonts w:ascii="Arial" w:hAnsi="Arial" w:cs="Arial"/>
          <w:sz w:val="20"/>
          <w:szCs w:val="20"/>
        </w:rPr>
        <w:t xml:space="preserve"> </w:t>
      </w:r>
      <w:proofErr w:type="spellStart"/>
      <w:r w:rsidRPr="00BD35D0">
        <w:rPr>
          <w:rFonts w:ascii="Arial" w:hAnsi="Arial" w:cs="Arial"/>
          <w:sz w:val="20"/>
          <w:szCs w:val="20"/>
        </w:rPr>
        <w:t>rate</w:t>
      </w:r>
      <w:r w:rsidR="00676829" w:rsidRPr="00BD35D0">
        <w:rPr>
          <w:rFonts w:ascii="Arial" w:hAnsi="Arial" w:cs="Arial"/>
          <w:sz w:val="20"/>
          <w:szCs w:val="20"/>
        </w:rPr>
        <w:t>s</w:t>
      </w:r>
      <w:proofErr w:type="spellEnd"/>
      <w:r w:rsidR="00676829" w:rsidRPr="00BD35D0">
        <w:rPr>
          <w:rFonts w:ascii="Arial" w:hAnsi="Arial" w:cs="Arial"/>
          <w:sz w:val="20"/>
          <w:szCs w:val="20"/>
        </w:rPr>
        <w:t xml:space="preserve"> </w:t>
      </w:r>
      <w:proofErr w:type="spellStart"/>
      <w:r w:rsidR="00676829" w:rsidRPr="00BD35D0">
        <w:rPr>
          <w:rFonts w:ascii="Arial" w:hAnsi="Arial" w:cs="Arial"/>
          <w:sz w:val="20"/>
          <w:szCs w:val="20"/>
        </w:rPr>
        <w:t>shock</w:t>
      </w:r>
      <w:proofErr w:type="spellEnd"/>
      <w:r w:rsidRPr="00BD35D0">
        <w:rPr>
          <w:rFonts w:ascii="Arial" w:hAnsi="Arial" w:cs="Arial"/>
          <w:sz w:val="20"/>
          <w:szCs w:val="20"/>
        </w:rPr>
        <w:t xml:space="preserve"> </w:t>
      </w:r>
      <w:proofErr w:type="spellStart"/>
      <w:r w:rsidRPr="00BD35D0">
        <w:rPr>
          <w:rFonts w:ascii="Arial" w:hAnsi="Arial" w:cs="Arial"/>
          <w:sz w:val="20"/>
          <w:szCs w:val="20"/>
        </w:rPr>
        <w:t>down</w:t>
      </w:r>
      <w:proofErr w:type="spellEnd"/>
      <w:r w:rsidRPr="00BD35D0">
        <w:rPr>
          <w:rFonts w:ascii="Arial" w:hAnsi="Arial" w:cs="Arial"/>
          <w:sz w:val="20"/>
          <w:szCs w:val="20"/>
        </w:rPr>
        <w:t>)</w:t>
      </w:r>
    </w:p>
    <w:p w14:paraId="40729FC2" w14:textId="77777777" w:rsidR="000A036F" w:rsidRPr="009A3D6A" w:rsidRDefault="000A036F" w:rsidP="000A036F">
      <w:pPr>
        <w:pStyle w:val="ListParagraph"/>
        <w:spacing w:after="0" w:line="240" w:lineRule="auto"/>
        <w:ind w:left="1287"/>
        <w:jc w:val="both"/>
        <w:rPr>
          <w:rFonts w:ascii="Arial" w:hAnsi="Arial" w:cs="Arial"/>
          <w:highlight w:val="lightGray"/>
        </w:rPr>
      </w:pPr>
    </w:p>
    <w:p w14:paraId="0867A86D" w14:textId="7F4ADB85" w:rsidR="000A036F" w:rsidRPr="00BD35D0" w:rsidRDefault="000A036F" w:rsidP="000A036F">
      <w:pPr>
        <w:autoSpaceDE w:val="0"/>
        <w:autoSpaceDN w:val="0"/>
        <w:adjustRightInd w:val="0"/>
        <w:spacing w:after="0" w:line="240" w:lineRule="auto"/>
        <w:ind w:left="927"/>
        <w:jc w:val="both"/>
        <w:rPr>
          <w:rFonts w:ascii="Arial" w:hAnsi="Arial" w:cs="Arial"/>
          <w:sz w:val="20"/>
          <w:szCs w:val="20"/>
        </w:rPr>
      </w:pPr>
      <w:r w:rsidRPr="00BD35D0">
        <w:rPr>
          <w:rFonts w:ascii="Arial" w:hAnsi="Arial" w:cs="Arial"/>
          <w:sz w:val="20"/>
          <w:szCs w:val="20"/>
        </w:rPr>
        <w:t xml:space="preserve">Pri vyhodnotení výsledkov je vybraný najhorší scenár, ktorý generuje najväčšiu negatívnu zmenu súčasnej hodnoty. </w:t>
      </w:r>
      <w:r w:rsidR="00676829" w:rsidRPr="00BD35D0">
        <w:rPr>
          <w:rFonts w:ascii="Arial" w:hAnsi="Arial" w:cs="Arial"/>
          <w:sz w:val="20"/>
          <w:szCs w:val="20"/>
        </w:rPr>
        <w:t>K 31.</w:t>
      </w:r>
      <w:r w:rsidR="00BD35D0" w:rsidRPr="00BD35D0">
        <w:rPr>
          <w:rFonts w:ascii="Arial" w:hAnsi="Arial" w:cs="Arial"/>
          <w:sz w:val="20"/>
          <w:szCs w:val="20"/>
        </w:rPr>
        <w:t>03</w:t>
      </w:r>
      <w:r w:rsidR="00676829" w:rsidRPr="00BD35D0">
        <w:rPr>
          <w:rFonts w:ascii="Arial" w:hAnsi="Arial" w:cs="Arial"/>
          <w:sz w:val="20"/>
          <w:szCs w:val="20"/>
        </w:rPr>
        <w:t>.202</w:t>
      </w:r>
      <w:r w:rsidR="00BD35D0" w:rsidRPr="00BD35D0">
        <w:rPr>
          <w:rFonts w:ascii="Arial" w:hAnsi="Arial" w:cs="Arial"/>
          <w:sz w:val="20"/>
          <w:szCs w:val="20"/>
        </w:rPr>
        <w:t>1</w:t>
      </w:r>
      <w:r w:rsidR="00676829" w:rsidRPr="00BD35D0">
        <w:rPr>
          <w:rFonts w:ascii="Arial" w:hAnsi="Arial" w:cs="Arial"/>
          <w:sz w:val="20"/>
          <w:szCs w:val="20"/>
        </w:rPr>
        <w:t xml:space="preserve"> je to scenár „</w:t>
      </w:r>
      <w:proofErr w:type="spellStart"/>
      <w:r w:rsidR="00676829" w:rsidRPr="00BD35D0">
        <w:rPr>
          <w:rFonts w:ascii="Arial" w:hAnsi="Arial" w:cs="Arial"/>
          <w:sz w:val="20"/>
          <w:szCs w:val="20"/>
        </w:rPr>
        <w:t>parallel</w:t>
      </w:r>
      <w:proofErr w:type="spellEnd"/>
      <w:r w:rsidR="00676829" w:rsidRPr="00BD35D0">
        <w:rPr>
          <w:rFonts w:ascii="Arial" w:hAnsi="Arial" w:cs="Arial"/>
          <w:sz w:val="20"/>
          <w:szCs w:val="20"/>
        </w:rPr>
        <w:t xml:space="preserve"> </w:t>
      </w:r>
      <w:proofErr w:type="spellStart"/>
      <w:r w:rsidR="00676829" w:rsidRPr="00BD35D0">
        <w:rPr>
          <w:rFonts w:ascii="Arial" w:hAnsi="Arial" w:cs="Arial"/>
          <w:sz w:val="20"/>
          <w:szCs w:val="20"/>
        </w:rPr>
        <w:t>shock</w:t>
      </w:r>
      <w:proofErr w:type="spellEnd"/>
      <w:r w:rsidR="00676829" w:rsidRPr="00BD35D0">
        <w:rPr>
          <w:rFonts w:ascii="Arial" w:hAnsi="Arial" w:cs="Arial"/>
          <w:sz w:val="20"/>
          <w:szCs w:val="20"/>
        </w:rPr>
        <w:t xml:space="preserve"> </w:t>
      </w:r>
      <w:proofErr w:type="spellStart"/>
      <w:r w:rsidR="00676829" w:rsidRPr="00BD35D0">
        <w:rPr>
          <w:rFonts w:ascii="Arial" w:hAnsi="Arial" w:cs="Arial"/>
          <w:sz w:val="20"/>
          <w:szCs w:val="20"/>
        </w:rPr>
        <w:t>up</w:t>
      </w:r>
      <w:proofErr w:type="spellEnd"/>
      <w:r w:rsidR="00676829" w:rsidRPr="00BD35D0">
        <w:rPr>
          <w:rFonts w:ascii="Arial" w:hAnsi="Arial" w:cs="Arial"/>
          <w:sz w:val="20"/>
          <w:szCs w:val="20"/>
        </w:rPr>
        <w:t>“ s negatívnym dopadom na ekonomickú hodnotu v objeme 6,0</w:t>
      </w:r>
      <w:r w:rsidR="00BD35D0" w:rsidRPr="00BD35D0">
        <w:rPr>
          <w:rFonts w:ascii="Arial" w:hAnsi="Arial" w:cs="Arial"/>
          <w:sz w:val="20"/>
          <w:szCs w:val="20"/>
        </w:rPr>
        <w:t>8</w:t>
      </w:r>
      <w:r w:rsidR="00676829" w:rsidRPr="00BD35D0">
        <w:rPr>
          <w:rFonts w:ascii="Arial" w:hAnsi="Arial" w:cs="Arial"/>
          <w:sz w:val="20"/>
          <w:szCs w:val="20"/>
        </w:rPr>
        <w:t xml:space="preserve"> milióna EUR.</w:t>
      </w:r>
    </w:p>
    <w:p w14:paraId="0BB51400" w14:textId="77777777" w:rsidR="000A036F" w:rsidRPr="009A3D6A" w:rsidRDefault="000A036F" w:rsidP="000A036F">
      <w:pPr>
        <w:autoSpaceDE w:val="0"/>
        <w:autoSpaceDN w:val="0"/>
        <w:adjustRightInd w:val="0"/>
        <w:spacing w:after="0" w:line="240" w:lineRule="auto"/>
        <w:ind w:left="927"/>
        <w:jc w:val="both"/>
        <w:rPr>
          <w:rFonts w:ascii="Arial" w:hAnsi="Arial" w:cs="Arial"/>
          <w:sz w:val="20"/>
          <w:szCs w:val="20"/>
          <w:highlight w:val="lightGray"/>
        </w:rPr>
      </w:pPr>
    </w:p>
    <w:p w14:paraId="3CCCF288" w14:textId="77777777" w:rsidR="000A036F" w:rsidRPr="00B13FC6" w:rsidRDefault="000A036F" w:rsidP="000A036F">
      <w:pPr>
        <w:spacing w:line="240" w:lineRule="auto"/>
        <w:ind w:left="927"/>
        <w:jc w:val="both"/>
        <w:rPr>
          <w:rFonts w:ascii="Arial" w:hAnsi="Arial" w:cs="Arial"/>
          <w:sz w:val="20"/>
          <w:szCs w:val="20"/>
        </w:rPr>
      </w:pPr>
      <w:r w:rsidRPr="00BD35D0">
        <w:rPr>
          <w:rFonts w:ascii="Arial" w:hAnsi="Arial" w:cs="Arial"/>
          <w:sz w:val="20"/>
          <w:szCs w:val="20"/>
        </w:rPr>
        <w:t xml:space="preserve">Potenciálny pokles ekonomickej hodnoty banky pri ktoromkoľvek scenári úrokového šoku nesmie prevýšiť 15 % kapitálu </w:t>
      </w:r>
      <w:proofErr w:type="spellStart"/>
      <w:r w:rsidRPr="00BD35D0">
        <w:rPr>
          <w:rFonts w:ascii="Arial" w:hAnsi="Arial" w:cs="Arial"/>
          <w:sz w:val="20"/>
          <w:szCs w:val="20"/>
        </w:rPr>
        <w:t>Tier</w:t>
      </w:r>
      <w:proofErr w:type="spellEnd"/>
      <w:r w:rsidRPr="00BD35D0">
        <w:rPr>
          <w:rFonts w:ascii="Arial" w:hAnsi="Arial" w:cs="Arial"/>
          <w:sz w:val="20"/>
          <w:szCs w:val="20"/>
        </w:rPr>
        <w:t xml:space="preserve"> 1.</w:t>
      </w:r>
    </w:p>
    <w:p w14:paraId="0987A14C" w14:textId="07ECEF8B" w:rsidR="00C60CC2" w:rsidRPr="00B13FC6" w:rsidRDefault="00C60CC2" w:rsidP="00B40B5F">
      <w:pPr>
        <w:spacing w:line="240" w:lineRule="auto"/>
        <w:ind w:right="-426" w:firstLine="567"/>
        <w:rPr>
          <w:rFonts w:ascii="Arial" w:hAnsi="Arial" w:cs="Arial"/>
          <w:sz w:val="20"/>
          <w:szCs w:val="20"/>
        </w:rPr>
      </w:pPr>
    </w:p>
    <w:p w14:paraId="33438E77" w14:textId="77777777" w:rsidR="00C60CC2" w:rsidRPr="00BF7453" w:rsidRDefault="00C60CC2" w:rsidP="009C6D5F">
      <w:pPr>
        <w:ind w:right="-426"/>
        <w:jc w:val="center"/>
        <w:rPr>
          <w:rFonts w:ascii="Arial" w:hAnsi="Arial" w:cs="Arial"/>
          <w:b/>
          <w:sz w:val="26"/>
          <w:szCs w:val="26"/>
        </w:rPr>
      </w:pPr>
      <w:r w:rsidRPr="00A460E6">
        <w:rPr>
          <w:rFonts w:ascii="Arial" w:hAnsi="Arial" w:cs="Arial"/>
          <w:b/>
          <w:color w:val="000000" w:themeColor="text1"/>
          <w:sz w:val="26"/>
          <w:szCs w:val="26"/>
        </w:rPr>
        <w:t xml:space="preserve">Článok 449 – Expozície voči </w:t>
      </w:r>
      <w:proofErr w:type="spellStart"/>
      <w:r w:rsidRPr="00A460E6">
        <w:rPr>
          <w:rFonts w:ascii="Arial" w:hAnsi="Arial" w:cs="Arial"/>
          <w:b/>
          <w:color w:val="000000" w:themeColor="text1"/>
          <w:sz w:val="26"/>
          <w:szCs w:val="26"/>
        </w:rPr>
        <w:t>sekuritizačným</w:t>
      </w:r>
      <w:proofErr w:type="spellEnd"/>
      <w:r w:rsidRPr="00A460E6">
        <w:rPr>
          <w:rFonts w:ascii="Arial" w:hAnsi="Arial" w:cs="Arial"/>
          <w:b/>
          <w:color w:val="000000" w:themeColor="text1"/>
          <w:sz w:val="26"/>
          <w:szCs w:val="26"/>
        </w:rPr>
        <w:t xml:space="preserve"> pozíciám</w:t>
      </w:r>
    </w:p>
    <w:p w14:paraId="41BD4B5D" w14:textId="77777777" w:rsidR="00C60CC2" w:rsidRPr="00B13FC6" w:rsidRDefault="00C60CC2" w:rsidP="009C6D5F">
      <w:pPr>
        <w:ind w:left="708" w:right="-426"/>
        <w:rPr>
          <w:rFonts w:ascii="Arial" w:hAnsi="Arial" w:cs="Arial"/>
          <w:b/>
          <w:sz w:val="26"/>
          <w:szCs w:val="26"/>
        </w:rPr>
      </w:pPr>
      <w:r w:rsidRPr="00BF7453">
        <w:rPr>
          <w:rFonts w:ascii="Arial" w:hAnsi="Arial" w:cs="Arial"/>
          <w:sz w:val="20"/>
          <w:szCs w:val="20"/>
        </w:rPr>
        <w:t>Banka nevykonáva činnosti týkajúce sa sekuritizácie.</w:t>
      </w:r>
    </w:p>
    <w:p w14:paraId="16010A5A" w14:textId="77777777" w:rsidR="00C60CC2" w:rsidRPr="00B13FC6" w:rsidRDefault="00C60CC2" w:rsidP="00C60CC2">
      <w:pPr>
        <w:ind w:right="-426"/>
        <w:rPr>
          <w:rFonts w:ascii="Arial" w:hAnsi="Arial" w:cs="Arial"/>
          <w:b/>
          <w:sz w:val="20"/>
          <w:szCs w:val="20"/>
        </w:rPr>
      </w:pPr>
    </w:p>
    <w:p w14:paraId="564CBFF0" w14:textId="77777777" w:rsidR="00E9710F" w:rsidRPr="004B0BCF" w:rsidRDefault="00E9710F" w:rsidP="00984DBF">
      <w:pPr>
        <w:jc w:val="center"/>
        <w:rPr>
          <w:rFonts w:ascii="Arial" w:hAnsi="Arial" w:cs="Arial"/>
          <w:b/>
          <w:sz w:val="20"/>
          <w:szCs w:val="20"/>
        </w:rPr>
      </w:pPr>
      <w:r w:rsidRPr="004B0BCF">
        <w:rPr>
          <w:rFonts w:ascii="Arial" w:hAnsi="Arial" w:cs="Arial"/>
          <w:b/>
          <w:sz w:val="26"/>
          <w:szCs w:val="26"/>
        </w:rPr>
        <w:t>Článok 450 – Politika odmeňovania</w:t>
      </w:r>
    </w:p>
    <w:p w14:paraId="596C4CAD" w14:textId="77777777" w:rsidR="00E9710F" w:rsidRPr="004B0BCF" w:rsidRDefault="00E9710F" w:rsidP="00984DBF">
      <w:pPr>
        <w:numPr>
          <w:ilvl w:val="0"/>
          <w:numId w:val="27"/>
        </w:numPr>
        <w:spacing w:line="240" w:lineRule="auto"/>
        <w:contextualSpacing/>
        <w:jc w:val="both"/>
        <w:rPr>
          <w:rFonts w:ascii="Arial" w:hAnsi="Arial" w:cs="Arial"/>
          <w:b/>
          <w:sz w:val="20"/>
          <w:szCs w:val="20"/>
        </w:rPr>
      </w:pPr>
      <w:r w:rsidRPr="004B0BCF">
        <w:rPr>
          <w:rFonts w:ascii="Arial" w:hAnsi="Arial" w:cs="Arial"/>
          <w:b/>
          <w:sz w:val="20"/>
          <w:szCs w:val="20"/>
        </w:rPr>
        <w:t>Informácie týkajúce sa rozhodovacieho procesu použitého pri určení politiky odmeňovania, ako aj počet zasadnutí riadiaceho orgánu, ktorý vykonáva dohľad nad odmeňovaním, počas finančného roka, vrátane prípadných informácií o zložení a mandáte výboru pre odmeňovanie, externého poradcu, ktorého služby sa použili pri určení politiky odmeňovania a úlohy príslušných zúčastnených strán</w:t>
      </w:r>
    </w:p>
    <w:p w14:paraId="2AC677AB" w14:textId="77777777" w:rsidR="00E9710F" w:rsidRPr="004B0BCF" w:rsidRDefault="00E9710F" w:rsidP="00984DBF">
      <w:pPr>
        <w:spacing w:line="240" w:lineRule="auto"/>
        <w:ind w:left="720"/>
        <w:contextualSpacing/>
        <w:rPr>
          <w:rFonts w:ascii="Arial" w:hAnsi="Arial" w:cs="Arial"/>
          <w:b/>
          <w:sz w:val="20"/>
          <w:szCs w:val="20"/>
        </w:rPr>
      </w:pPr>
    </w:p>
    <w:p w14:paraId="1AE9A767" w14:textId="77777777" w:rsidR="00E9710F" w:rsidRPr="004B0BCF" w:rsidRDefault="00E9710F" w:rsidP="00984DBF">
      <w:pPr>
        <w:ind w:left="709"/>
        <w:jc w:val="both"/>
        <w:rPr>
          <w:rFonts w:ascii="Arial" w:hAnsi="Arial" w:cs="Arial"/>
          <w:sz w:val="20"/>
          <w:szCs w:val="20"/>
        </w:rPr>
      </w:pPr>
      <w:r w:rsidRPr="004B0BCF">
        <w:rPr>
          <w:rFonts w:ascii="Arial" w:hAnsi="Arial" w:cs="Arial"/>
          <w:sz w:val="20"/>
          <w:szCs w:val="20"/>
        </w:rPr>
        <w:t xml:space="preserve">V zmysle rozhodnutia Dozornej rady OTP Banky Slovensko, </w:t>
      </w:r>
      <w:proofErr w:type="spellStart"/>
      <w:r w:rsidRPr="004B0BCF">
        <w:rPr>
          <w:rFonts w:ascii="Arial" w:hAnsi="Arial" w:cs="Arial"/>
          <w:sz w:val="20"/>
          <w:szCs w:val="20"/>
        </w:rPr>
        <w:t>a.s</w:t>
      </w:r>
      <w:proofErr w:type="spellEnd"/>
      <w:r w:rsidRPr="004B0BCF">
        <w:rPr>
          <w:rFonts w:ascii="Arial" w:hAnsi="Arial" w:cs="Arial"/>
          <w:sz w:val="20"/>
          <w:szCs w:val="20"/>
        </w:rPr>
        <w:t xml:space="preserve">. zo dňa 19.12.2013, </w:t>
      </w:r>
      <w:r w:rsidRPr="004B0BCF">
        <w:rPr>
          <w:rFonts w:ascii="Arial" w:hAnsi="Arial" w:cs="Arial"/>
          <w:bCs/>
          <w:sz w:val="20"/>
          <w:szCs w:val="20"/>
        </w:rPr>
        <w:t xml:space="preserve">v súlade so </w:t>
      </w:r>
      <w:r w:rsidRPr="004B0BCF">
        <w:rPr>
          <w:rFonts w:ascii="Arial" w:hAnsi="Arial" w:cs="Arial"/>
          <w:sz w:val="20"/>
          <w:szCs w:val="20"/>
        </w:rPr>
        <w:t xml:space="preserve">Zákonom o bankách č. 483/2011 Z. z. § 23 d ods. 1 a čl. </w:t>
      </w:r>
      <w:proofErr w:type="spellStart"/>
      <w:r w:rsidRPr="004B0BCF">
        <w:rPr>
          <w:rFonts w:ascii="Arial" w:hAnsi="Arial" w:cs="Arial"/>
          <w:sz w:val="20"/>
          <w:szCs w:val="20"/>
        </w:rPr>
        <w:t>XLVIa</w:t>
      </w:r>
      <w:proofErr w:type="spellEnd"/>
      <w:r w:rsidRPr="004B0BCF">
        <w:rPr>
          <w:rFonts w:ascii="Arial" w:hAnsi="Arial" w:cs="Arial"/>
          <w:sz w:val="20"/>
          <w:szCs w:val="20"/>
        </w:rPr>
        <w:t xml:space="preserve"> bod 6 Stanov OTP Banky Slovensko, </w:t>
      </w:r>
      <w:proofErr w:type="spellStart"/>
      <w:r w:rsidRPr="004B0BCF">
        <w:rPr>
          <w:rFonts w:ascii="Arial" w:hAnsi="Arial" w:cs="Arial"/>
          <w:sz w:val="20"/>
          <w:szCs w:val="20"/>
        </w:rPr>
        <w:t>a.s</w:t>
      </w:r>
      <w:proofErr w:type="spellEnd"/>
      <w:r w:rsidRPr="004B0BCF">
        <w:rPr>
          <w:rFonts w:ascii="Arial" w:hAnsi="Arial" w:cs="Arial"/>
          <w:sz w:val="20"/>
          <w:szCs w:val="20"/>
        </w:rPr>
        <w:t xml:space="preserve">. je poverená </w:t>
      </w:r>
      <w:r w:rsidRPr="004B0BCF">
        <w:rPr>
          <w:rFonts w:ascii="Arial" w:hAnsi="Arial" w:cs="Arial"/>
          <w:bCs/>
          <w:sz w:val="20"/>
          <w:szCs w:val="20"/>
        </w:rPr>
        <w:t xml:space="preserve">výkonom funkcie osoby zodpovednej za systém odmeňovania v OTP Banke Slovensko, </w:t>
      </w:r>
      <w:proofErr w:type="spellStart"/>
      <w:r w:rsidRPr="004B0BCF">
        <w:rPr>
          <w:rFonts w:ascii="Arial" w:hAnsi="Arial" w:cs="Arial"/>
          <w:bCs/>
          <w:sz w:val="20"/>
          <w:szCs w:val="20"/>
        </w:rPr>
        <w:t>a.s</w:t>
      </w:r>
      <w:proofErr w:type="spellEnd"/>
      <w:r w:rsidRPr="004B0BCF">
        <w:rPr>
          <w:rFonts w:ascii="Arial" w:hAnsi="Arial" w:cs="Arial"/>
          <w:bCs/>
          <w:sz w:val="20"/>
          <w:szCs w:val="20"/>
        </w:rPr>
        <w:t>. vedúca samostatného oddelenia riadenia ľudských zdrojov.</w:t>
      </w:r>
      <w:r w:rsidRPr="004B0BCF">
        <w:rPr>
          <w:rFonts w:ascii="Arial" w:hAnsi="Arial" w:cs="Arial"/>
          <w:sz w:val="20"/>
          <w:szCs w:val="20"/>
        </w:rPr>
        <w:t xml:space="preserve"> Práva a povinnosti z titulu poverenia upravuje § 23d ods.1 Zákona o bankách a čl. </w:t>
      </w:r>
      <w:proofErr w:type="spellStart"/>
      <w:r w:rsidRPr="004B0BCF">
        <w:rPr>
          <w:rFonts w:ascii="Arial" w:hAnsi="Arial" w:cs="Arial"/>
          <w:sz w:val="20"/>
          <w:szCs w:val="20"/>
        </w:rPr>
        <w:t>XLVIa</w:t>
      </w:r>
      <w:proofErr w:type="spellEnd"/>
      <w:r w:rsidRPr="004B0BCF">
        <w:rPr>
          <w:rFonts w:ascii="Arial" w:hAnsi="Arial" w:cs="Arial"/>
          <w:sz w:val="20"/>
          <w:szCs w:val="20"/>
        </w:rPr>
        <w:t xml:space="preserve"> bod 6 Stanov OTP Banky Slovensko, </w:t>
      </w:r>
      <w:proofErr w:type="spellStart"/>
      <w:r w:rsidRPr="004B0BCF">
        <w:rPr>
          <w:rFonts w:ascii="Arial" w:hAnsi="Arial" w:cs="Arial"/>
          <w:sz w:val="20"/>
          <w:szCs w:val="20"/>
        </w:rPr>
        <w:t>a.s</w:t>
      </w:r>
      <w:proofErr w:type="spellEnd"/>
      <w:r w:rsidRPr="004B0BCF">
        <w:rPr>
          <w:rFonts w:ascii="Arial" w:hAnsi="Arial" w:cs="Arial"/>
          <w:sz w:val="20"/>
          <w:szCs w:val="20"/>
        </w:rPr>
        <w:t>.:</w:t>
      </w:r>
    </w:p>
    <w:p w14:paraId="10C7CA73" w14:textId="77777777" w:rsidR="00E9710F" w:rsidRPr="004B0BCF" w:rsidRDefault="00E9710F" w:rsidP="00984DBF">
      <w:pPr>
        <w:numPr>
          <w:ilvl w:val="0"/>
          <w:numId w:val="6"/>
        </w:numPr>
        <w:spacing w:after="120"/>
        <w:jc w:val="both"/>
        <w:rPr>
          <w:rFonts w:ascii="Arial" w:eastAsia="Times New Roman" w:hAnsi="Arial" w:cs="Arial"/>
          <w:sz w:val="20"/>
          <w:szCs w:val="20"/>
        </w:rPr>
      </w:pPr>
      <w:r w:rsidRPr="004B0BCF">
        <w:rPr>
          <w:rFonts w:ascii="Arial" w:eastAsia="Times New Roman" w:hAnsi="Arial" w:cs="Arial"/>
          <w:sz w:val="20"/>
          <w:szCs w:val="20"/>
        </w:rPr>
        <w:t>nezávisle posudzuje zásady odmeňovania a ich dopadov na riadenie rizika, vlastných zdrojov a likvidity,</w:t>
      </w:r>
    </w:p>
    <w:p w14:paraId="5BAE61D0" w14:textId="77777777" w:rsidR="00E9710F" w:rsidRPr="004B0BCF" w:rsidRDefault="00E9710F" w:rsidP="00984DBF">
      <w:pPr>
        <w:numPr>
          <w:ilvl w:val="0"/>
          <w:numId w:val="6"/>
        </w:numPr>
        <w:spacing w:after="120"/>
        <w:jc w:val="both"/>
        <w:rPr>
          <w:rFonts w:ascii="Arial" w:eastAsia="Times New Roman" w:hAnsi="Arial" w:cs="Arial"/>
          <w:sz w:val="20"/>
          <w:szCs w:val="20"/>
        </w:rPr>
      </w:pPr>
      <w:r w:rsidRPr="004B0BCF">
        <w:rPr>
          <w:rFonts w:ascii="Arial" w:eastAsia="Times New Roman" w:hAnsi="Arial" w:cs="Arial"/>
          <w:sz w:val="20"/>
          <w:szCs w:val="20"/>
        </w:rPr>
        <w:t>zodpovedá za prípravu rozhodnutí týkajúcich sa odmeňovania vrátane tých, ktoré majú dôsledky na riziká a riadenie rizík banky, ktoré majú byť prijaté štatutárnym orgánom,</w:t>
      </w:r>
    </w:p>
    <w:p w14:paraId="4BEB3FB4" w14:textId="77777777" w:rsidR="00E9710F" w:rsidRPr="004B0BCF" w:rsidRDefault="00E9710F" w:rsidP="00984DBF">
      <w:pPr>
        <w:numPr>
          <w:ilvl w:val="0"/>
          <w:numId w:val="6"/>
        </w:numPr>
        <w:spacing w:after="120"/>
        <w:jc w:val="both"/>
        <w:rPr>
          <w:rFonts w:ascii="Arial" w:eastAsia="Times New Roman" w:hAnsi="Arial" w:cs="Arial"/>
          <w:sz w:val="20"/>
          <w:szCs w:val="20"/>
        </w:rPr>
      </w:pPr>
      <w:r w:rsidRPr="004B0BCF">
        <w:rPr>
          <w:rFonts w:ascii="Arial" w:eastAsia="Times New Roman" w:hAnsi="Arial" w:cs="Arial"/>
          <w:sz w:val="20"/>
          <w:szCs w:val="20"/>
        </w:rPr>
        <w:t xml:space="preserve">zohľadňuje dlhodobé záujmy akcionárov, investorov a iných zainteresovaných strán banky pri príprave svojich rozhodnutí.  </w:t>
      </w:r>
    </w:p>
    <w:p w14:paraId="2D83D6AF" w14:textId="77777777" w:rsidR="00E9710F" w:rsidRPr="004B0BCF" w:rsidRDefault="00E9710F" w:rsidP="00984DBF">
      <w:pPr>
        <w:numPr>
          <w:ilvl w:val="0"/>
          <w:numId w:val="27"/>
        </w:numPr>
        <w:spacing w:line="240" w:lineRule="auto"/>
        <w:contextualSpacing/>
        <w:rPr>
          <w:rFonts w:ascii="Arial" w:hAnsi="Arial" w:cs="Arial"/>
          <w:b/>
          <w:sz w:val="20"/>
          <w:szCs w:val="20"/>
        </w:rPr>
      </w:pPr>
      <w:r w:rsidRPr="004B0BCF">
        <w:rPr>
          <w:rFonts w:ascii="Arial" w:hAnsi="Arial" w:cs="Arial"/>
          <w:b/>
          <w:sz w:val="20"/>
          <w:szCs w:val="20"/>
        </w:rPr>
        <w:t>Informácie týkajúce sa väzby medzi odmenou a výkonnosťou</w:t>
      </w:r>
    </w:p>
    <w:p w14:paraId="35CFB850" w14:textId="77777777" w:rsidR="00E9710F" w:rsidRPr="004B0BCF" w:rsidRDefault="00E9710F" w:rsidP="00984DBF">
      <w:pPr>
        <w:autoSpaceDE w:val="0"/>
        <w:autoSpaceDN w:val="0"/>
        <w:adjustRightInd w:val="0"/>
        <w:ind w:left="720"/>
        <w:contextualSpacing/>
        <w:jc w:val="both"/>
        <w:rPr>
          <w:rFonts w:ascii="Arial" w:hAnsi="Arial" w:cs="Arial"/>
          <w:sz w:val="20"/>
          <w:szCs w:val="20"/>
        </w:rPr>
      </w:pPr>
    </w:p>
    <w:p w14:paraId="7CDEAC80" w14:textId="77777777" w:rsidR="00E9710F" w:rsidRPr="004B0BCF" w:rsidRDefault="00E9710F" w:rsidP="00984DBF">
      <w:pPr>
        <w:autoSpaceDE w:val="0"/>
        <w:autoSpaceDN w:val="0"/>
        <w:adjustRightInd w:val="0"/>
        <w:ind w:left="720"/>
        <w:contextualSpacing/>
        <w:jc w:val="both"/>
        <w:rPr>
          <w:rFonts w:ascii="Arial" w:hAnsi="Arial" w:cs="Arial"/>
          <w:sz w:val="20"/>
          <w:szCs w:val="20"/>
        </w:rPr>
      </w:pPr>
      <w:r w:rsidRPr="004B0BCF">
        <w:rPr>
          <w:rFonts w:ascii="Arial" w:hAnsi="Arial" w:cs="Arial"/>
          <w:sz w:val="20"/>
          <w:szCs w:val="20"/>
        </w:rPr>
        <w:t>Celková odmena obsahuje fixnú a pohyblivú zložku. Pomer fixnej a pohyblivej zložky odmeny je stanovený na základe nasledujúcich aspektov: štruktúra „Banky“, charakter a komplexnosť jej činnosti, pozícia zamestnancov v rámci organizačnej štruktúry a úrovne prevzatia rizika rozhodovania priradené rozličným pracovným pozíciám.</w:t>
      </w:r>
    </w:p>
    <w:p w14:paraId="058CA9BB" w14:textId="77777777" w:rsidR="00E9710F" w:rsidRPr="004B0BCF" w:rsidRDefault="00E9710F" w:rsidP="00984DBF">
      <w:pPr>
        <w:autoSpaceDE w:val="0"/>
        <w:autoSpaceDN w:val="0"/>
        <w:adjustRightInd w:val="0"/>
        <w:ind w:left="720"/>
        <w:contextualSpacing/>
        <w:jc w:val="both"/>
        <w:rPr>
          <w:rFonts w:ascii="Arial" w:hAnsi="Arial" w:cs="Arial"/>
          <w:sz w:val="20"/>
          <w:szCs w:val="20"/>
        </w:rPr>
      </w:pPr>
    </w:p>
    <w:p w14:paraId="00582EE6" w14:textId="77777777" w:rsidR="00E9710F" w:rsidRPr="004B0BCF" w:rsidRDefault="00E9710F" w:rsidP="00984DBF">
      <w:pPr>
        <w:numPr>
          <w:ilvl w:val="0"/>
          <w:numId w:val="27"/>
        </w:numPr>
        <w:spacing w:line="240" w:lineRule="auto"/>
        <w:contextualSpacing/>
        <w:jc w:val="both"/>
        <w:rPr>
          <w:rFonts w:ascii="Arial" w:hAnsi="Arial" w:cs="Arial"/>
          <w:b/>
          <w:sz w:val="20"/>
          <w:szCs w:val="20"/>
        </w:rPr>
      </w:pPr>
      <w:r w:rsidRPr="004B0BCF">
        <w:rPr>
          <w:rFonts w:ascii="Arial" w:hAnsi="Arial" w:cs="Arial"/>
          <w:b/>
          <w:sz w:val="20"/>
          <w:szCs w:val="20"/>
        </w:rPr>
        <w:t>Najdôležitejšie koncepčné vlastnosti systému odmeňovania vrátane informácií o kritériách použitých na meranie výkonnosti a zohľadnenie rizika, politika odkladu a kritériá nadobúdania práv</w:t>
      </w:r>
    </w:p>
    <w:p w14:paraId="520BD75D"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p>
    <w:p w14:paraId="2B51F244"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návratnosť rizikovo upraveného kapitálu (RORAC),</w:t>
      </w:r>
    </w:p>
    <w:p w14:paraId="01C7D6A6"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náklady spojené s rizikom,</w:t>
      </w:r>
    </w:p>
    <w:p w14:paraId="6A825DC4"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pomer merajúci vymáhanie/inkasovanie pohľadávok po splatnosti,</w:t>
      </w:r>
    </w:p>
    <w:p w14:paraId="265422A4"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ukazovatele príjmov,</w:t>
      </w:r>
    </w:p>
    <w:p w14:paraId="04C1B06B" w14:textId="77777777" w:rsidR="00E9710F" w:rsidRPr="004B0BCF" w:rsidRDefault="00E9710F" w:rsidP="00984DBF">
      <w:pPr>
        <w:autoSpaceDE w:val="0"/>
        <w:autoSpaceDN w:val="0"/>
        <w:adjustRightInd w:val="0"/>
        <w:spacing w:after="0"/>
        <w:ind w:left="720"/>
        <w:jc w:val="both"/>
        <w:rPr>
          <w:rFonts w:ascii="Arial" w:eastAsia="Times New Roman" w:hAnsi="Arial" w:cs="Arial"/>
          <w:b/>
          <w:sz w:val="20"/>
          <w:szCs w:val="20"/>
          <w:lang w:eastAsia="hu-HU"/>
        </w:rPr>
      </w:pPr>
      <w:r w:rsidRPr="004B0BCF">
        <w:rPr>
          <w:rFonts w:ascii="Arial" w:eastAsia="Times New Roman" w:hAnsi="Arial" w:cs="Arial"/>
          <w:sz w:val="20"/>
          <w:szCs w:val="20"/>
          <w:lang w:eastAsia="hu-HU"/>
        </w:rPr>
        <w:t>individuálne ciele banky</w:t>
      </w:r>
    </w:p>
    <w:p w14:paraId="1599AD40" w14:textId="77777777" w:rsidR="00E9710F" w:rsidRPr="004B0BCF" w:rsidRDefault="00E9710F" w:rsidP="00984DBF">
      <w:pPr>
        <w:spacing w:line="240" w:lineRule="auto"/>
        <w:ind w:left="720"/>
        <w:contextualSpacing/>
        <w:rPr>
          <w:rFonts w:ascii="Arial" w:hAnsi="Arial" w:cs="Arial"/>
          <w:b/>
          <w:sz w:val="20"/>
          <w:szCs w:val="20"/>
        </w:rPr>
      </w:pPr>
    </w:p>
    <w:p w14:paraId="43982274" w14:textId="77777777" w:rsidR="00E9710F" w:rsidRPr="004B0BCF" w:rsidRDefault="00E9710F" w:rsidP="00984DBF">
      <w:pPr>
        <w:numPr>
          <w:ilvl w:val="0"/>
          <w:numId w:val="27"/>
        </w:numPr>
        <w:spacing w:line="240" w:lineRule="auto"/>
        <w:contextualSpacing/>
        <w:rPr>
          <w:rFonts w:ascii="Arial" w:hAnsi="Arial" w:cs="Arial"/>
          <w:b/>
          <w:sz w:val="20"/>
          <w:szCs w:val="20"/>
        </w:rPr>
      </w:pPr>
      <w:r w:rsidRPr="004B0BCF">
        <w:rPr>
          <w:rFonts w:ascii="Arial" w:hAnsi="Arial" w:cs="Arial"/>
          <w:b/>
          <w:sz w:val="20"/>
          <w:szCs w:val="20"/>
        </w:rPr>
        <w:t>Pomery medzi pevnou a pohyblivou zložkou odmeňovania stanovené v čl. 94 ods. 1 písm. g) smernice 2013/36/EÚ</w:t>
      </w:r>
    </w:p>
    <w:p w14:paraId="3E6E8A71" w14:textId="77777777" w:rsidR="00E9710F" w:rsidRPr="004B0BCF" w:rsidRDefault="00E9710F" w:rsidP="00984DBF">
      <w:pPr>
        <w:autoSpaceDE w:val="0"/>
        <w:autoSpaceDN w:val="0"/>
        <w:adjustRightInd w:val="0"/>
        <w:ind w:left="720"/>
        <w:contextualSpacing/>
        <w:jc w:val="both"/>
        <w:rPr>
          <w:rFonts w:ascii="Arial" w:hAnsi="Arial" w:cs="Arial"/>
          <w:sz w:val="20"/>
          <w:szCs w:val="20"/>
        </w:rPr>
      </w:pPr>
    </w:p>
    <w:p w14:paraId="31C1E3C6" w14:textId="77777777" w:rsidR="00E9710F" w:rsidRPr="004B0BCF" w:rsidRDefault="00E9710F" w:rsidP="00984DBF">
      <w:pPr>
        <w:autoSpaceDE w:val="0"/>
        <w:autoSpaceDN w:val="0"/>
        <w:adjustRightInd w:val="0"/>
        <w:ind w:left="720"/>
        <w:contextualSpacing/>
        <w:jc w:val="both"/>
        <w:rPr>
          <w:rFonts w:ascii="Arial" w:hAnsi="Arial" w:cs="Arial"/>
          <w:sz w:val="20"/>
          <w:szCs w:val="20"/>
        </w:rPr>
      </w:pPr>
      <w:r w:rsidRPr="004B0BCF">
        <w:rPr>
          <w:rFonts w:ascii="Arial" w:hAnsi="Arial" w:cs="Arial"/>
          <w:sz w:val="20"/>
          <w:szCs w:val="20"/>
        </w:rPr>
        <w:t>Celková odmena obsahuje fixnú a pohyblivú zložku. Pomer fixnej a pohyblivej zložky odmeny je stanovený na uvedených aspektov: štruktúra „Banky“, charakter a komplexnosť jej činnosti, pozícia zamestnancov v rámci organizačnej štruktúry a úrovne prevzatia rizika rozhodovania priradené rozličným pracovným pozíciám.</w:t>
      </w:r>
    </w:p>
    <w:p w14:paraId="764BEAC8" w14:textId="77777777" w:rsidR="00E9710F" w:rsidRPr="004B0BCF" w:rsidRDefault="00E9710F" w:rsidP="00984DBF">
      <w:pPr>
        <w:autoSpaceDE w:val="0"/>
        <w:autoSpaceDN w:val="0"/>
        <w:adjustRightInd w:val="0"/>
        <w:ind w:left="720"/>
        <w:contextualSpacing/>
        <w:jc w:val="both"/>
        <w:rPr>
          <w:rFonts w:ascii="Arial" w:hAnsi="Arial" w:cs="Arial"/>
          <w:b/>
          <w:sz w:val="20"/>
          <w:szCs w:val="20"/>
        </w:rPr>
      </w:pPr>
    </w:p>
    <w:p w14:paraId="597B0246" w14:textId="77777777" w:rsidR="00E9710F" w:rsidRPr="004B0BCF" w:rsidRDefault="00E9710F" w:rsidP="00984DBF">
      <w:pPr>
        <w:numPr>
          <w:ilvl w:val="0"/>
          <w:numId w:val="27"/>
        </w:numPr>
        <w:spacing w:line="240" w:lineRule="auto"/>
        <w:contextualSpacing/>
        <w:rPr>
          <w:rFonts w:ascii="Arial" w:hAnsi="Arial" w:cs="Arial"/>
          <w:b/>
          <w:sz w:val="20"/>
          <w:szCs w:val="20"/>
        </w:rPr>
      </w:pPr>
      <w:r w:rsidRPr="004B0BCF">
        <w:rPr>
          <w:rFonts w:ascii="Arial" w:hAnsi="Arial" w:cs="Arial"/>
          <w:b/>
          <w:sz w:val="20"/>
          <w:szCs w:val="20"/>
        </w:rPr>
        <w:t>Informácie o výkonnostných kritériách, na ktorých sa zakladá nárok na akcie, opcie alebo pohyblivé zložky odmeňovania</w:t>
      </w:r>
    </w:p>
    <w:p w14:paraId="5F132EF0" w14:textId="77777777" w:rsidR="00E9710F" w:rsidRPr="004B0BCF" w:rsidRDefault="00E9710F" w:rsidP="00984DBF">
      <w:pPr>
        <w:autoSpaceDE w:val="0"/>
        <w:autoSpaceDN w:val="0"/>
        <w:adjustRightInd w:val="0"/>
        <w:spacing w:after="0"/>
        <w:ind w:firstLine="709"/>
        <w:jc w:val="both"/>
        <w:rPr>
          <w:rFonts w:ascii="Arial" w:eastAsia="Times New Roman" w:hAnsi="Arial" w:cs="Arial"/>
          <w:sz w:val="20"/>
          <w:szCs w:val="20"/>
          <w:lang w:eastAsia="hu-HU"/>
        </w:rPr>
      </w:pPr>
    </w:p>
    <w:p w14:paraId="7DFCA286" w14:textId="77777777" w:rsidR="00E9710F" w:rsidRPr="004B0BCF" w:rsidRDefault="00E9710F" w:rsidP="00984DBF">
      <w:pPr>
        <w:autoSpaceDE w:val="0"/>
        <w:autoSpaceDN w:val="0"/>
        <w:adjustRightInd w:val="0"/>
        <w:spacing w:after="0"/>
        <w:ind w:firstLine="709"/>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 xml:space="preserve">Individuálne výkony sa hodnotia každoročne po uzatvorení príslušného fiškálneho roka. </w:t>
      </w:r>
    </w:p>
    <w:p w14:paraId="5FF3D9C0" w14:textId="77777777" w:rsidR="00E9710F" w:rsidRPr="004B0BCF" w:rsidRDefault="00E9710F" w:rsidP="00984DBF">
      <w:pPr>
        <w:autoSpaceDE w:val="0"/>
        <w:autoSpaceDN w:val="0"/>
        <w:adjustRightInd w:val="0"/>
        <w:spacing w:after="0"/>
        <w:ind w:left="709"/>
        <w:jc w:val="both"/>
        <w:rPr>
          <w:rFonts w:ascii="Arial" w:eastAsia="Times New Roman" w:hAnsi="Arial" w:cs="Arial"/>
          <w:sz w:val="20"/>
          <w:szCs w:val="20"/>
          <w:lang w:eastAsia="hu-HU"/>
        </w:rPr>
      </w:pPr>
    </w:p>
    <w:p w14:paraId="28F58A52" w14:textId="77777777" w:rsidR="00E9710F" w:rsidRPr="004B0BCF" w:rsidRDefault="00E9710F" w:rsidP="00984DBF">
      <w:pPr>
        <w:autoSpaceDE w:val="0"/>
        <w:autoSpaceDN w:val="0"/>
        <w:adjustRightInd w:val="0"/>
        <w:spacing w:after="0"/>
        <w:ind w:left="709"/>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 xml:space="preserve">Výška výkonnostnej odmeny stanovenej na základe hodnotenia individuálnych výkonov sa môže znížiť v súlade so zásadami uvedenými v politike odmeňovania: </w:t>
      </w:r>
    </w:p>
    <w:p w14:paraId="6EC83105" w14:textId="77777777" w:rsidR="00E9710F" w:rsidRPr="004B0BCF" w:rsidRDefault="00E9710F" w:rsidP="00984DBF">
      <w:pPr>
        <w:numPr>
          <w:ilvl w:val="0"/>
          <w:numId w:val="7"/>
        </w:numPr>
        <w:autoSpaceDE w:val="0"/>
        <w:autoSpaceDN w:val="0"/>
        <w:adjustRightInd w:val="0"/>
        <w:spacing w:after="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splnenie povinností vyplývajúcich z pracovného pomeru,</w:t>
      </w:r>
    </w:p>
    <w:p w14:paraId="110D86BA" w14:textId="77777777" w:rsidR="00E9710F" w:rsidRPr="004B0BCF" w:rsidRDefault="00E9710F" w:rsidP="00984DBF">
      <w:pPr>
        <w:numPr>
          <w:ilvl w:val="0"/>
          <w:numId w:val="7"/>
        </w:numPr>
        <w:autoSpaceDE w:val="0"/>
        <w:autoSpaceDN w:val="0"/>
        <w:adjustRightInd w:val="0"/>
        <w:spacing w:after="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 xml:space="preserve">dodržiavanie právnych predpisov súvisiacich s výkonom pracovných činností, interných predpisov, pokynov vedúcich, odborných predpisov vzťahujúcich sa na pracovnú pozíciu, </w:t>
      </w:r>
    </w:p>
    <w:p w14:paraId="4EF6556D" w14:textId="77777777" w:rsidR="00E9710F" w:rsidRPr="004B0BCF" w:rsidRDefault="00E9710F" w:rsidP="00984DBF">
      <w:pPr>
        <w:numPr>
          <w:ilvl w:val="0"/>
          <w:numId w:val="7"/>
        </w:numPr>
        <w:autoSpaceDE w:val="0"/>
        <w:autoSpaceDN w:val="0"/>
        <w:adjustRightInd w:val="0"/>
        <w:spacing w:after="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dodržiavanie požiadaviek zamestnávateľa, kladených voči zamestnancovi v súvislosti s jeho pracovnou disciplínou v pozícii vedúceho.</w:t>
      </w:r>
    </w:p>
    <w:p w14:paraId="5B3817DA" w14:textId="77777777" w:rsidR="00E9710F" w:rsidRPr="004B0BCF" w:rsidRDefault="00E9710F" w:rsidP="00984DBF">
      <w:pPr>
        <w:autoSpaceDE w:val="0"/>
        <w:autoSpaceDN w:val="0"/>
        <w:adjustRightInd w:val="0"/>
        <w:spacing w:after="0"/>
        <w:ind w:left="709"/>
        <w:jc w:val="both"/>
        <w:rPr>
          <w:rFonts w:ascii="Arial" w:eastAsia="Times New Roman" w:hAnsi="Arial" w:cs="Arial"/>
          <w:sz w:val="20"/>
          <w:szCs w:val="20"/>
          <w:lang w:eastAsia="hu-HU"/>
        </w:rPr>
      </w:pPr>
    </w:p>
    <w:p w14:paraId="11F7FD8F" w14:textId="77777777" w:rsidR="00E9710F" w:rsidRPr="004B0BCF" w:rsidRDefault="00E9710F" w:rsidP="00984DBF">
      <w:pPr>
        <w:autoSpaceDE w:val="0"/>
        <w:autoSpaceDN w:val="0"/>
        <w:adjustRightInd w:val="0"/>
        <w:spacing w:after="0"/>
        <w:ind w:left="709"/>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 xml:space="preserve">Z dôvodu odkladu časti pohyblivej zložky odmeny, sa po priznaní odloženej časti výkonnostnej odmeny budú aplikovať kvantitatívne kritériá hodnotenia, ktoré primerane hodnotia stabilnú, udržateľnú a obozretnú prevádzku. </w:t>
      </w:r>
    </w:p>
    <w:p w14:paraId="71C717FC" w14:textId="77777777" w:rsidR="00E9710F" w:rsidRPr="004B0BCF" w:rsidRDefault="00E9710F" w:rsidP="00984DBF">
      <w:pPr>
        <w:autoSpaceDE w:val="0"/>
        <w:autoSpaceDN w:val="0"/>
        <w:adjustRightInd w:val="0"/>
        <w:spacing w:after="0" w:line="240" w:lineRule="auto"/>
        <w:ind w:left="709"/>
        <w:jc w:val="both"/>
        <w:rPr>
          <w:rFonts w:ascii="Arial" w:eastAsia="Times New Roman" w:hAnsi="Arial" w:cs="Arial"/>
          <w:sz w:val="20"/>
          <w:szCs w:val="20"/>
          <w:lang w:eastAsia="hu-HU"/>
        </w:rPr>
      </w:pPr>
    </w:p>
    <w:p w14:paraId="7DF011DC" w14:textId="77777777" w:rsidR="00E9710F" w:rsidRPr="004B0BCF" w:rsidRDefault="00E9710F" w:rsidP="00984DBF">
      <w:pPr>
        <w:autoSpaceDE w:val="0"/>
        <w:autoSpaceDN w:val="0"/>
        <w:adjustRightInd w:val="0"/>
        <w:spacing w:after="0"/>
        <w:ind w:left="709"/>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Budú sa používať nasledovné kritériá hodnotenia:</w:t>
      </w:r>
    </w:p>
    <w:p w14:paraId="7DEA13BD" w14:textId="77777777" w:rsidR="00E9710F" w:rsidRPr="004B0BCF" w:rsidRDefault="00E9710F" w:rsidP="00984DBF">
      <w:pPr>
        <w:autoSpaceDE w:val="0"/>
        <w:autoSpaceDN w:val="0"/>
        <w:adjustRightInd w:val="0"/>
        <w:spacing w:after="0" w:line="240" w:lineRule="auto"/>
        <w:ind w:firstLine="709"/>
        <w:jc w:val="both"/>
        <w:rPr>
          <w:rFonts w:ascii="Arial" w:eastAsia="Times New Roman" w:hAnsi="Arial" w:cs="Arial"/>
          <w:sz w:val="20"/>
          <w:szCs w:val="20"/>
          <w:lang w:eastAsia="hu-HU"/>
        </w:rPr>
      </w:pPr>
    </w:p>
    <w:p w14:paraId="18042C61" w14:textId="77777777" w:rsidR="00E9710F" w:rsidRPr="004B0BCF" w:rsidRDefault="00E9710F" w:rsidP="00984DBF">
      <w:pPr>
        <w:numPr>
          <w:ilvl w:val="1"/>
          <w:numId w:val="7"/>
        </w:numPr>
        <w:autoSpaceDE w:val="0"/>
        <w:autoSpaceDN w:val="0"/>
        <w:adjustRightInd w:val="0"/>
        <w:spacing w:after="0"/>
        <w:ind w:left="1080" w:hanging="284"/>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 xml:space="preserve">dosiahnutie regulačnej  úrovne kapitálovej primeranosti s prihliadnutím na kapitálové doplnenie navýšenia kapitálu vykonané po roku, ktorý sa berie za základ výkonu a výška kumulatívnych nákladov spojených s rizikom – nasledujúcej po roku, ktorý slúži ako základ pre výkon – v porovnaní s plánom; </w:t>
      </w:r>
    </w:p>
    <w:p w14:paraId="73273C4F" w14:textId="77777777" w:rsidR="00E9710F" w:rsidRPr="004B0BCF" w:rsidRDefault="00E9710F" w:rsidP="00984DBF">
      <w:pPr>
        <w:ind w:left="720"/>
        <w:contextualSpacing/>
        <w:rPr>
          <w:rFonts w:ascii="Arial" w:hAnsi="Arial" w:cs="Arial"/>
          <w:b/>
          <w:sz w:val="20"/>
          <w:szCs w:val="20"/>
        </w:rPr>
      </w:pPr>
    </w:p>
    <w:p w14:paraId="43418FF2" w14:textId="77777777" w:rsidR="00E9710F" w:rsidRPr="004B0BCF" w:rsidRDefault="00E9710F" w:rsidP="00984DBF">
      <w:pPr>
        <w:numPr>
          <w:ilvl w:val="0"/>
          <w:numId w:val="27"/>
        </w:numPr>
        <w:spacing w:line="240" w:lineRule="auto"/>
        <w:contextualSpacing/>
        <w:rPr>
          <w:rFonts w:ascii="Arial" w:hAnsi="Arial" w:cs="Arial"/>
          <w:b/>
          <w:sz w:val="20"/>
          <w:szCs w:val="20"/>
        </w:rPr>
      </w:pPr>
      <w:r w:rsidRPr="004B0BCF">
        <w:rPr>
          <w:rFonts w:ascii="Arial" w:hAnsi="Arial" w:cs="Arial"/>
          <w:b/>
          <w:sz w:val="20"/>
          <w:szCs w:val="20"/>
        </w:rPr>
        <w:t>Hlavné parametre a zdôvodnenie akéhokoľvek systému pohyblivých zložiek a všetkých ďalších nepeňažných výhod</w:t>
      </w:r>
    </w:p>
    <w:p w14:paraId="453C0A76"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p>
    <w:p w14:paraId="2B6A18A6"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 xml:space="preserve">Výkonnostná odmena stanovená na základe hodnotenia výkonu pre osoby patriace do rámca politiky odmeňovania  sa realizuje jednotne vo forme hotovostného bonusu a akcií v pomere 50:50%. </w:t>
      </w:r>
    </w:p>
    <w:p w14:paraId="20407298" w14:textId="77777777" w:rsidR="00E9710F" w:rsidRPr="004B0BCF" w:rsidRDefault="00E9710F" w:rsidP="00984DBF">
      <w:pPr>
        <w:autoSpaceDE w:val="0"/>
        <w:autoSpaceDN w:val="0"/>
        <w:adjustRightInd w:val="0"/>
        <w:spacing w:after="0" w:line="240" w:lineRule="auto"/>
        <w:ind w:left="720"/>
        <w:jc w:val="both"/>
        <w:rPr>
          <w:rFonts w:ascii="Arial" w:eastAsia="Times New Roman" w:hAnsi="Arial" w:cs="Arial"/>
          <w:sz w:val="20"/>
          <w:szCs w:val="20"/>
          <w:lang w:eastAsia="hu-HU"/>
        </w:rPr>
      </w:pPr>
    </w:p>
    <w:p w14:paraId="63790656"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 xml:space="preserve">V prípade 1.skupiny zamestnancov 60%, v prípade 2.skupiny zamestnancov 40% z výkonnostnej odmeny stanovenej v rámci individuálnej úrovne pre osoby patriace do rámca politiky odmeňovania  bude podliehať odkladu. </w:t>
      </w:r>
    </w:p>
    <w:p w14:paraId="34F4F845" w14:textId="77777777" w:rsidR="00E9710F" w:rsidRPr="004B0BCF" w:rsidRDefault="00E9710F" w:rsidP="00984DBF">
      <w:pPr>
        <w:autoSpaceDE w:val="0"/>
        <w:autoSpaceDN w:val="0"/>
        <w:adjustRightInd w:val="0"/>
        <w:spacing w:after="0" w:line="240" w:lineRule="auto"/>
        <w:ind w:left="720"/>
        <w:jc w:val="both"/>
        <w:rPr>
          <w:rFonts w:ascii="Arial" w:eastAsia="Times New Roman" w:hAnsi="Arial" w:cs="Arial"/>
          <w:sz w:val="20"/>
          <w:szCs w:val="20"/>
          <w:lang w:eastAsia="hu-HU"/>
        </w:rPr>
      </w:pPr>
    </w:p>
    <w:p w14:paraId="34E53F8A"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Obdobie odkladu odloženej časti výkonnostnej odmeny bude 3 roky. Krátkodobá a odložená platba bude realizovaná hotovostným bonusom a pridelením akcií v pomere 50 – 50%.</w:t>
      </w:r>
    </w:p>
    <w:p w14:paraId="59C36E1E" w14:textId="77777777" w:rsidR="00E9710F" w:rsidRPr="004B0BCF" w:rsidRDefault="00E9710F" w:rsidP="00984DBF">
      <w:pPr>
        <w:autoSpaceDE w:val="0"/>
        <w:autoSpaceDN w:val="0"/>
        <w:adjustRightInd w:val="0"/>
        <w:spacing w:after="0" w:line="240" w:lineRule="auto"/>
        <w:ind w:left="720"/>
        <w:jc w:val="both"/>
        <w:rPr>
          <w:rFonts w:ascii="Arial" w:eastAsia="Times New Roman" w:hAnsi="Arial" w:cs="Arial"/>
          <w:sz w:val="20"/>
          <w:szCs w:val="20"/>
          <w:lang w:eastAsia="hu-HU"/>
        </w:rPr>
      </w:pPr>
    </w:p>
    <w:p w14:paraId="39645EB3" w14:textId="77777777" w:rsidR="00E9710F" w:rsidRPr="004B0BCF"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4B0BCF">
        <w:rPr>
          <w:rFonts w:ascii="Arial" w:eastAsia="Times New Roman" w:hAnsi="Arial" w:cs="Arial"/>
          <w:sz w:val="20"/>
          <w:szCs w:val="20"/>
          <w:lang w:eastAsia="hu-HU"/>
        </w:rPr>
        <w:t xml:space="preserve">Počas celého obdobia odkladu sa budú brať do úvahy dopady, ktoré sa medzičasom vyskytli v súvislosti s činnosťou osôb patriacich do rámca politiky odmeňovania a v závislosti od toho by sa mala podľa potreby znížiť výška odmeny podliehajúca odloženej platbe.  </w:t>
      </w:r>
    </w:p>
    <w:p w14:paraId="5A91BEC9" w14:textId="77777777" w:rsidR="00E9710F" w:rsidRPr="009A3D6A" w:rsidRDefault="00E9710F"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245102FB" w14:textId="04878D06" w:rsidR="00E9710F" w:rsidRPr="009A3D6A" w:rsidRDefault="00E9710F"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5F39DD98" w14:textId="433BBF66" w:rsidR="00C305B8" w:rsidRPr="009A3D6A" w:rsidRDefault="00C305B8"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662A79AE" w14:textId="162CA098" w:rsidR="00C305B8" w:rsidRPr="009A3D6A" w:rsidRDefault="00C305B8"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4919B55E" w14:textId="77777777" w:rsidR="00C305B8" w:rsidRPr="009A3D6A" w:rsidRDefault="00C305B8"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52EC287B" w14:textId="77777777" w:rsidR="00E9710F" w:rsidRPr="004B0BCF" w:rsidRDefault="00E9710F" w:rsidP="00984DBF">
      <w:pPr>
        <w:numPr>
          <w:ilvl w:val="0"/>
          <w:numId w:val="27"/>
        </w:numPr>
        <w:spacing w:line="240" w:lineRule="auto"/>
        <w:contextualSpacing/>
        <w:rPr>
          <w:rFonts w:ascii="Arial" w:hAnsi="Arial" w:cs="Arial"/>
          <w:b/>
          <w:sz w:val="20"/>
          <w:szCs w:val="20"/>
        </w:rPr>
      </w:pPr>
      <w:r w:rsidRPr="004B0BCF">
        <w:rPr>
          <w:rFonts w:ascii="Arial" w:hAnsi="Arial" w:cs="Arial"/>
          <w:b/>
          <w:sz w:val="20"/>
          <w:szCs w:val="20"/>
        </w:rPr>
        <w:t>Súhrnné kvantitatívne informácie o odmeňovaní rozčlenené podľa obchodnej oblasti</w:t>
      </w:r>
    </w:p>
    <w:p w14:paraId="48D9D398" w14:textId="77777777" w:rsidR="00E9710F" w:rsidRPr="004B0BCF" w:rsidRDefault="00E9710F" w:rsidP="00984DBF">
      <w:pPr>
        <w:ind w:left="720"/>
        <w:contextualSpacing/>
        <w:rPr>
          <w:rFonts w:ascii="Arial" w:hAnsi="Arial" w:cs="Arial"/>
          <w:b/>
          <w:sz w:val="20"/>
          <w:szCs w:val="20"/>
        </w:rPr>
      </w:pPr>
    </w:p>
    <w:p w14:paraId="6797510C" w14:textId="77777777" w:rsidR="00E9710F" w:rsidRPr="004B0BCF" w:rsidRDefault="00E9710F" w:rsidP="00984DBF">
      <w:pPr>
        <w:numPr>
          <w:ilvl w:val="0"/>
          <w:numId w:val="30"/>
        </w:numPr>
        <w:contextualSpacing/>
        <w:jc w:val="both"/>
        <w:rPr>
          <w:rFonts w:ascii="Arial" w:hAnsi="Arial" w:cs="Arial"/>
          <w:sz w:val="20"/>
          <w:szCs w:val="20"/>
        </w:rPr>
      </w:pPr>
      <w:r w:rsidRPr="004B0BCF">
        <w:rPr>
          <w:rFonts w:ascii="Arial" w:hAnsi="Arial" w:cs="Arial"/>
          <w:sz w:val="20"/>
          <w:szCs w:val="20"/>
        </w:rPr>
        <w:t>Sumy odmeny za kalendárny rok rozdelenej na základnú zložku mzdy, pevnú zložku odmeny a pohyblivú zložku celkovej odmeny a počtu príjemcov (v tis. EUR) – uverejňuje sa ročne.</w:t>
      </w:r>
    </w:p>
    <w:p w14:paraId="308FF43A" w14:textId="6C7A22F3" w:rsidR="00E9710F" w:rsidRPr="004B0BCF" w:rsidRDefault="00E9710F" w:rsidP="00984DBF">
      <w:pPr>
        <w:ind w:left="1080"/>
        <w:contextualSpacing/>
        <w:jc w:val="both"/>
        <w:rPr>
          <w:rFonts w:ascii="Arial" w:hAnsi="Arial" w:cs="Arial"/>
          <w:sz w:val="20"/>
          <w:szCs w:val="20"/>
        </w:rPr>
      </w:pPr>
    </w:p>
    <w:p w14:paraId="138B0AFD" w14:textId="4BFA1938" w:rsidR="00133FB5" w:rsidRPr="004B0BCF" w:rsidRDefault="00133FB5" w:rsidP="00133FB5">
      <w:pPr>
        <w:ind w:left="1080"/>
        <w:contextualSpacing/>
        <w:jc w:val="both"/>
        <w:rPr>
          <w:rFonts w:ascii="Arial" w:hAnsi="Arial" w:cs="Arial"/>
          <w:sz w:val="20"/>
          <w:szCs w:val="20"/>
        </w:rPr>
      </w:pPr>
      <w:r w:rsidRPr="004B0BCF">
        <w:rPr>
          <w:rFonts w:ascii="Arial" w:hAnsi="Arial" w:cs="Arial"/>
          <w:sz w:val="20"/>
          <w:szCs w:val="20"/>
        </w:rPr>
        <w:t>Výška pohyblivej zložky odmeny zatiaľ nebola schválená.</w:t>
      </w:r>
    </w:p>
    <w:p w14:paraId="249BC887" w14:textId="77777777" w:rsidR="00133FB5" w:rsidRPr="004B0BCF" w:rsidRDefault="00133FB5" w:rsidP="00984DBF">
      <w:pPr>
        <w:ind w:left="1080"/>
        <w:contextualSpacing/>
        <w:jc w:val="both"/>
        <w:rPr>
          <w:rFonts w:ascii="Arial" w:hAnsi="Arial" w:cs="Arial"/>
          <w:sz w:val="20"/>
          <w:szCs w:val="20"/>
        </w:rPr>
      </w:pPr>
    </w:p>
    <w:p w14:paraId="1D99203A" w14:textId="77777777" w:rsidR="00E9710F" w:rsidRPr="004B0BCF" w:rsidRDefault="00E9710F" w:rsidP="00984DBF">
      <w:pPr>
        <w:numPr>
          <w:ilvl w:val="0"/>
          <w:numId w:val="30"/>
        </w:numPr>
        <w:contextualSpacing/>
        <w:jc w:val="both"/>
        <w:rPr>
          <w:rFonts w:ascii="Arial" w:hAnsi="Arial" w:cs="Arial"/>
          <w:sz w:val="20"/>
          <w:szCs w:val="20"/>
        </w:rPr>
      </w:pPr>
      <w:r w:rsidRPr="004B0BCF">
        <w:rPr>
          <w:rFonts w:ascii="Arial" w:hAnsi="Arial" w:cs="Arial"/>
          <w:sz w:val="20"/>
          <w:szCs w:val="20"/>
        </w:rPr>
        <w:t>Sumy a formy pohyblivej zložky celkovej odmeny podľa jej jednotlivých častí (v tis. EUR):</w:t>
      </w:r>
    </w:p>
    <w:p w14:paraId="16760BAB" w14:textId="77777777" w:rsidR="00E9710F" w:rsidRPr="004B0BCF" w:rsidRDefault="00E9710F" w:rsidP="00984DBF">
      <w:pPr>
        <w:spacing w:after="0" w:line="240" w:lineRule="auto"/>
        <w:ind w:left="1080"/>
        <w:jc w:val="both"/>
        <w:rPr>
          <w:rFonts w:ascii="Arial" w:hAnsi="Arial" w:cs="Arial"/>
          <w:sz w:val="20"/>
          <w:szCs w:val="20"/>
        </w:rPr>
      </w:pPr>
    </w:p>
    <w:p w14:paraId="22ECF423" w14:textId="2160D34F" w:rsidR="00133FB5" w:rsidRPr="004B0BCF" w:rsidRDefault="00133FB5" w:rsidP="00133FB5">
      <w:pPr>
        <w:ind w:left="1080"/>
        <w:contextualSpacing/>
        <w:jc w:val="both"/>
        <w:rPr>
          <w:rFonts w:ascii="Arial" w:hAnsi="Arial" w:cs="Arial"/>
          <w:sz w:val="20"/>
          <w:szCs w:val="20"/>
        </w:rPr>
      </w:pPr>
      <w:r w:rsidRPr="004B0BCF">
        <w:rPr>
          <w:rFonts w:ascii="Arial" w:hAnsi="Arial" w:cs="Arial"/>
          <w:sz w:val="20"/>
          <w:szCs w:val="20"/>
        </w:rPr>
        <w:t>Výška pohyblivej zložky odmeny zatiaľ nebola schválená.</w:t>
      </w:r>
    </w:p>
    <w:p w14:paraId="266EC669" w14:textId="77777777" w:rsidR="00E9710F" w:rsidRPr="004B0BCF" w:rsidRDefault="00E9710F" w:rsidP="00984DBF">
      <w:pPr>
        <w:spacing w:after="0" w:line="240" w:lineRule="auto"/>
        <w:ind w:left="1080"/>
        <w:jc w:val="both"/>
        <w:rPr>
          <w:rFonts w:ascii="Arial" w:hAnsi="Arial" w:cs="Arial"/>
          <w:sz w:val="20"/>
          <w:szCs w:val="20"/>
        </w:rPr>
      </w:pPr>
    </w:p>
    <w:p w14:paraId="02BE759A" w14:textId="77777777" w:rsidR="00E9710F" w:rsidRPr="004B0BCF" w:rsidRDefault="00E9710F" w:rsidP="00984DBF">
      <w:pPr>
        <w:numPr>
          <w:ilvl w:val="0"/>
          <w:numId w:val="30"/>
        </w:numPr>
        <w:contextualSpacing/>
        <w:jc w:val="both"/>
        <w:rPr>
          <w:rFonts w:ascii="Arial" w:hAnsi="Arial" w:cs="Arial"/>
          <w:sz w:val="20"/>
          <w:szCs w:val="20"/>
        </w:rPr>
      </w:pPr>
      <w:r w:rsidRPr="004B0BCF">
        <w:rPr>
          <w:rFonts w:ascii="Arial" w:hAnsi="Arial" w:cs="Arial"/>
          <w:sz w:val="20"/>
          <w:szCs w:val="20"/>
        </w:rPr>
        <w:t>Sumy zostávajúcej pohyblivej zložky celkovej odmeny podľa § 23b ods. 3 zákona (v tis. EUR):</w:t>
      </w:r>
    </w:p>
    <w:p w14:paraId="5FB2450C" w14:textId="77777777" w:rsidR="00E9710F" w:rsidRPr="004B0BCF" w:rsidRDefault="00E9710F" w:rsidP="00984DBF">
      <w:pPr>
        <w:spacing w:after="0" w:line="240" w:lineRule="auto"/>
        <w:ind w:left="720" w:firstLine="360"/>
        <w:jc w:val="both"/>
        <w:rPr>
          <w:rFonts w:ascii="Arial" w:hAnsi="Arial" w:cs="Arial"/>
          <w:sz w:val="20"/>
          <w:szCs w:val="20"/>
        </w:rPr>
      </w:pPr>
    </w:p>
    <w:p w14:paraId="5A7A9F98" w14:textId="6C526EE2" w:rsidR="00E9710F" w:rsidRPr="004B0BCF" w:rsidRDefault="00133FB5" w:rsidP="00984DBF">
      <w:pPr>
        <w:autoSpaceDE w:val="0"/>
        <w:autoSpaceDN w:val="0"/>
        <w:adjustRightInd w:val="0"/>
        <w:spacing w:after="0" w:line="240" w:lineRule="auto"/>
        <w:ind w:left="1134"/>
        <w:jc w:val="both"/>
        <w:rPr>
          <w:rFonts w:ascii="Arial" w:hAnsi="Arial" w:cs="Arial"/>
          <w:sz w:val="20"/>
          <w:szCs w:val="20"/>
        </w:rPr>
      </w:pPr>
      <w:r w:rsidRPr="004B0BCF">
        <w:rPr>
          <w:rFonts w:ascii="Arial" w:hAnsi="Arial" w:cs="Arial"/>
          <w:sz w:val="20"/>
          <w:szCs w:val="20"/>
        </w:rPr>
        <w:t>Výška pohyblivej zložky odmeny zatiaľ nebola schválená.</w:t>
      </w:r>
    </w:p>
    <w:p w14:paraId="3174BD14" w14:textId="77777777" w:rsidR="00133FB5" w:rsidRPr="004B0BCF" w:rsidRDefault="00133FB5" w:rsidP="00984DBF">
      <w:pPr>
        <w:autoSpaceDE w:val="0"/>
        <w:autoSpaceDN w:val="0"/>
        <w:adjustRightInd w:val="0"/>
        <w:spacing w:after="0" w:line="240" w:lineRule="auto"/>
        <w:ind w:left="1134"/>
        <w:jc w:val="both"/>
        <w:rPr>
          <w:rFonts w:ascii="Arial" w:eastAsia="Times New Roman" w:hAnsi="Arial" w:cs="Arial"/>
          <w:sz w:val="20"/>
          <w:szCs w:val="20"/>
          <w:lang w:eastAsia="hu-HU"/>
        </w:rPr>
      </w:pPr>
    </w:p>
    <w:p w14:paraId="2D4964E2" w14:textId="77777777" w:rsidR="00E9710F" w:rsidRPr="004B0BCF" w:rsidRDefault="00E9710F" w:rsidP="00984DBF">
      <w:pPr>
        <w:numPr>
          <w:ilvl w:val="0"/>
          <w:numId w:val="30"/>
        </w:numPr>
        <w:contextualSpacing/>
        <w:jc w:val="both"/>
        <w:rPr>
          <w:rFonts w:ascii="Arial" w:hAnsi="Arial" w:cs="Arial"/>
          <w:sz w:val="20"/>
          <w:szCs w:val="20"/>
        </w:rPr>
      </w:pPr>
      <w:r w:rsidRPr="004B0BCF">
        <w:rPr>
          <w:rFonts w:ascii="Arial" w:hAnsi="Arial" w:cs="Arial"/>
          <w:sz w:val="20"/>
          <w:szCs w:val="20"/>
        </w:rPr>
        <w:t>Sumy odmeny podľa § 23b) ods. 3 zákona priznanej počas kalendárneho roka vyplatenej a zníženej vzhľadom na individuálnu výkonnosť osôb (v tis. EUR).</w:t>
      </w:r>
    </w:p>
    <w:p w14:paraId="428ABC73" w14:textId="3D6A7C79" w:rsidR="00E9710F" w:rsidRPr="004B0BCF" w:rsidRDefault="00133FB5" w:rsidP="00984DBF">
      <w:pPr>
        <w:pStyle w:val="ListParagraph"/>
        <w:ind w:left="1080"/>
        <w:jc w:val="both"/>
        <w:rPr>
          <w:rFonts w:ascii="Arial" w:hAnsi="Arial" w:cs="Arial"/>
          <w:sz w:val="20"/>
          <w:szCs w:val="20"/>
        </w:rPr>
      </w:pPr>
      <w:r w:rsidRPr="004B0BCF">
        <w:rPr>
          <w:rFonts w:ascii="Arial" w:hAnsi="Arial" w:cs="Arial"/>
          <w:sz w:val="20"/>
          <w:szCs w:val="20"/>
        </w:rPr>
        <w:t xml:space="preserve">V priebehu </w:t>
      </w:r>
      <w:r w:rsidR="004B0BCF" w:rsidRPr="004B0BCF">
        <w:rPr>
          <w:rFonts w:ascii="Arial" w:hAnsi="Arial" w:cs="Arial"/>
          <w:sz w:val="20"/>
          <w:szCs w:val="20"/>
        </w:rPr>
        <w:t>1. štvrťroka</w:t>
      </w:r>
      <w:r w:rsidR="00603445" w:rsidRPr="004B0BCF">
        <w:rPr>
          <w:rFonts w:ascii="Arial" w:hAnsi="Arial" w:cs="Arial"/>
          <w:sz w:val="20"/>
          <w:szCs w:val="20"/>
        </w:rPr>
        <w:t xml:space="preserve"> </w:t>
      </w:r>
      <w:r w:rsidRPr="004B0BCF">
        <w:rPr>
          <w:rFonts w:ascii="Arial" w:hAnsi="Arial" w:cs="Arial"/>
          <w:sz w:val="20"/>
          <w:szCs w:val="20"/>
        </w:rPr>
        <w:t>202</w:t>
      </w:r>
      <w:r w:rsidR="004B0BCF" w:rsidRPr="004B0BCF">
        <w:rPr>
          <w:rFonts w:ascii="Arial" w:hAnsi="Arial" w:cs="Arial"/>
          <w:sz w:val="20"/>
          <w:szCs w:val="20"/>
        </w:rPr>
        <w:t>1</w:t>
      </w:r>
      <w:r w:rsidRPr="004B0BCF">
        <w:rPr>
          <w:rFonts w:ascii="Arial" w:hAnsi="Arial" w:cs="Arial"/>
          <w:sz w:val="20"/>
          <w:szCs w:val="20"/>
        </w:rPr>
        <w:t xml:space="preserve"> neboli vzhľadom na individuálnu výkonnosť vyplatené žiadne odmeny.</w:t>
      </w:r>
    </w:p>
    <w:p w14:paraId="5F6C5A1F" w14:textId="77777777" w:rsidR="00E9710F" w:rsidRPr="004B0BCF" w:rsidRDefault="00E9710F" w:rsidP="00984DBF">
      <w:pPr>
        <w:numPr>
          <w:ilvl w:val="0"/>
          <w:numId w:val="30"/>
        </w:numPr>
        <w:contextualSpacing/>
        <w:jc w:val="both"/>
        <w:rPr>
          <w:rFonts w:ascii="Arial" w:hAnsi="Arial" w:cs="Arial"/>
          <w:sz w:val="20"/>
          <w:szCs w:val="20"/>
        </w:rPr>
      </w:pPr>
      <w:r w:rsidRPr="004B0BCF">
        <w:rPr>
          <w:rFonts w:ascii="Arial" w:hAnsi="Arial" w:cs="Arial"/>
          <w:sz w:val="20"/>
          <w:szCs w:val="20"/>
        </w:rPr>
        <w:t>Sumy príjmov vyplatených počas kalendárneho roka v súvislosti s prijatím osôb do zamestnania a počtu príjemcov týchto platieb.</w:t>
      </w:r>
    </w:p>
    <w:p w14:paraId="5ACA4900" w14:textId="77777777" w:rsidR="00E9710F" w:rsidRPr="004B0BCF" w:rsidRDefault="00E9710F" w:rsidP="00984DBF">
      <w:pPr>
        <w:ind w:left="1080"/>
        <w:contextualSpacing/>
        <w:jc w:val="both"/>
        <w:rPr>
          <w:rFonts w:ascii="Arial" w:hAnsi="Arial" w:cs="Arial"/>
          <w:sz w:val="20"/>
          <w:szCs w:val="20"/>
        </w:rPr>
      </w:pPr>
    </w:p>
    <w:p w14:paraId="1D5F7ADD" w14:textId="68884620" w:rsidR="00E9710F" w:rsidRPr="004B0BCF" w:rsidRDefault="00133FB5" w:rsidP="00984DBF">
      <w:pPr>
        <w:ind w:left="1080"/>
        <w:jc w:val="both"/>
        <w:rPr>
          <w:rFonts w:ascii="Arial" w:hAnsi="Arial" w:cs="Arial"/>
          <w:sz w:val="20"/>
          <w:szCs w:val="20"/>
        </w:rPr>
      </w:pPr>
      <w:bookmarkStart w:id="3" w:name="_Hlk55302961"/>
      <w:r w:rsidRPr="004B0BCF">
        <w:rPr>
          <w:rFonts w:ascii="Arial" w:hAnsi="Arial" w:cs="Arial"/>
          <w:sz w:val="20"/>
          <w:szCs w:val="20"/>
        </w:rPr>
        <w:t xml:space="preserve">V priebehu </w:t>
      </w:r>
      <w:r w:rsidR="004B0BCF" w:rsidRPr="004B0BCF">
        <w:rPr>
          <w:rFonts w:ascii="Arial" w:hAnsi="Arial" w:cs="Arial"/>
          <w:sz w:val="20"/>
          <w:szCs w:val="20"/>
        </w:rPr>
        <w:t>1. štvrťroka</w:t>
      </w:r>
      <w:r w:rsidRPr="004B0BCF">
        <w:rPr>
          <w:rFonts w:ascii="Arial" w:hAnsi="Arial" w:cs="Arial"/>
          <w:sz w:val="20"/>
          <w:szCs w:val="20"/>
        </w:rPr>
        <w:t xml:space="preserve"> 202</w:t>
      </w:r>
      <w:r w:rsidR="004B0BCF" w:rsidRPr="004B0BCF">
        <w:rPr>
          <w:rFonts w:ascii="Arial" w:hAnsi="Arial" w:cs="Arial"/>
          <w:sz w:val="20"/>
          <w:szCs w:val="20"/>
        </w:rPr>
        <w:t>1</w:t>
      </w:r>
      <w:r w:rsidRPr="004B0BCF">
        <w:rPr>
          <w:rFonts w:ascii="Arial" w:hAnsi="Arial" w:cs="Arial"/>
          <w:sz w:val="20"/>
          <w:szCs w:val="20"/>
        </w:rPr>
        <w:t xml:space="preserve"> neboli vyplatené žiadne príjmy v súvislosti s prijatím osôb do zamestnania.</w:t>
      </w:r>
      <w:bookmarkEnd w:id="3"/>
    </w:p>
    <w:p w14:paraId="72F93F68" w14:textId="77777777" w:rsidR="00E9710F" w:rsidRPr="004B0BCF" w:rsidRDefault="00E9710F" w:rsidP="00984DBF">
      <w:pPr>
        <w:numPr>
          <w:ilvl w:val="0"/>
          <w:numId w:val="30"/>
        </w:numPr>
        <w:contextualSpacing/>
        <w:jc w:val="both"/>
        <w:rPr>
          <w:rFonts w:ascii="Arial" w:hAnsi="Arial" w:cs="Arial"/>
          <w:sz w:val="20"/>
          <w:szCs w:val="20"/>
        </w:rPr>
      </w:pPr>
      <w:r w:rsidRPr="004B0BCF">
        <w:rPr>
          <w:rFonts w:ascii="Arial" w:hAnsi="Arial" w:cs="Arial"/>
          <w:sz w:val="20"/>
          <w:szCs w:val="20"/>
        </w:rPr>
        <w:t xml:space="preserve">Sumy odstupného priznaného počas kalendárneho roka, počtu príjemcov odstupného     </w:t>
      </w:r>
    </w:p>
    <w:p w14:paraId="5F0271CA" w14:textId="77777777" w:rsidR="00E9710F" w:rsidRPr="004B0BCF" w:rsidRDefault="00E9710F" w:rsidP="00984DBF">
      <w:pPr>
        <w:ind w:left="1080"/>
        <w:contextualSpacing/>
        <w:jc w:val="both"/>
      </w:pPr>
      <w:r w:rsidRPr="004B0BCF">
        <w:rPr>
          <w:rFonts w:ascii="Arial" w:hAnsi="Arial" w:cs="Arial"/>
          <w:sz w:val="20"/>
          <w:szCs w:val="20"/>
        </w:rPr>
        <w:t>a najvyššej takejto platby priznanej jednotlivcovi.</w:t>
      </w:r>
      <w:r w:rsidRPr="004B0BCF">
        <w:t xml:space="preserve"> </w:t>
      </w:r>
    </w:p>
    <w:p w14:paraId="7BD439B5" w14:textId="77777777" w:rsidR="00E9710F" w:rsidRPr="004B0BCF" w:rsidRDefault="00E9710F" w:rsidP="00984DBF">
      <w:pPr>
        <w:spacing w:line="240" w:lineRule="auto"/>
        <w:ind w:left="1080"/>
        <w:contextualSpacing/>
        <w:jc w:val="both"/>
      </w:pPr>
    </w:p>
    <w:p w14:paraId="3365CFDF" w14:textId="6F94C02A" w:rsidR="00E9710F" w:rsidRPr="004B0BCF" w:rsidRDefault="00133FB5" w:rsidP="004B0BCF">
      <w:pPr>
        <w:ind w:left="1080"/>
        <w:contextualSpacing/>
        <w:rPr>
          <w:rFonts w:ascii="Arial" w:hAnsi="Arial" w:cs="Arial"/>
          <w:b/>
          <w:sz w:val="20"/>
          <w:szCs w:val="20"/>
        </w:rPr>
      </w:pPr>
      <w:r w:rsidRPr="004B0BCF">
        <w:rPr>
          <w:rFonts w:ascii="Arial" w:hAnsi="Arial" w:cs="Arial"/>
          <w:sz w:val="20"/>
          <w:szCs w:val="20"/>
        </w:rPr>
        <w:t xml:space="preserve">V priebehu </w:t>
      </w:r>
      <w:r w:rsidR="004B0BCF" w:rsidRPr="004B0BCF">
        <w:rPr>
          <w:rFonts w:ascii="Arial" w:hAnsi="Arial" w:cs="Arial"/>
          <w:sz w:val="20"/>
          <w:szCs w:val="20"/>
        </w:rPr>
        <w:t>1. štvrť</w:t>
      </w:r>
      <w:r w:rsidR="00603445" w:rsidRPr="004B0BCF">
        <w:rPr>
          <w:rFonts w:ascii="Arial" w:hAnsi="Arial" w:cs="Arial"/>
          <w:sz w:val="20"/>
          <w:szCs w:val="20"/>
        </w:rPr>
        <w:t>roka</w:t>
      </w:r>
      <w:r w:rsidRPr="004B0BCF">
        <w:rPr>
          <w:rFonts w:ascii="Arial" w:hAnsi="Arial" w:cs="Arial"/>
          <w:sz w:val="20"/>
          <w:szCs w:val="20"/>
        </w:rPr>
        <w:t xml:space="preserve"> 202</w:t>
      </w:r>
      <w:r w:rsidR="004B0BCF" w:rsidRPr="004B0BCF">
        <w:rPr>
          <w:rFonts w:ascii="Arial" w:hAnsi="Arial" w:cs="Arial"/>
          <w:sz w:val="20"/>
          <w:szCs w:val="20"/>
        </w:rPr>
        <w:t>1</w:t>
      </w:r>
      <w:r w:rsidRPr="004B0BCF">
        <w:rPr>
          <w:rFonts w:ascii="Arial" w:hAnsi="Arial" w:cs="Arial"/>
          <w:sz w:val="20"/>
          <w:szCs w:val="20"/>
        </w:rPr>
        <w:t xml:space="preserve"> nebolo vyplatené žiadne odstupné podľa § 23a ods. 1 zákona.</w:t>
      </w:r>
    </w:p>
    <w:p w14:paraId="77D4BC91" w14:textId="57904E4B" w:rsidR="00C305B8" w:rsidRPr="009A3D6A" w:rsidRDefault="00C305B8" w:rsidP="00984DBF">
      <w:pPr>
        <w:ind w:left="720"/>
        <w:contextualSpacing/>
        <w:rPr>
          <w:rFonts w:ascii="Arial" w:hAnsi="Arial" w:cs="Arial"/>
          <w:b/>
          <w:sz w:val="20"/>
          <w:szCs w:val="20"/>
          <w:highlight w:val="yellow"/>
        </w:rPr>
      </w:pPr>
    </w:p>
    <w:p w14:paraId="56186930" w14:textId="1BBB1C62" w:rsidR="00C305B8" w:rsidRPr="009A3D6A" w:rsidRDefault="00C305B8" w:rsidP="00984DBF">
      <w:pPr>
        <w:ind w:left="720"/>
        <w:contextualSpacing/>
        <w:rPr>
          <w:rFonts w:ascii="Arial" w:hAnsi="Arial" w:cs="Arial"/>
          <w:b/>
          <w:sz w:val="20"/>
          <w:szCs w:val="20"/>
          <w:highlight w:val="yellow"/>
        </w:rPr>
      </w:pPr>
    </w:p>
    <w:p w14:paraId="743CAE2B" w14:textId="39E037A9" w:rsidR="00C305B8" w:rsidRPr="009A3D6A" w:rsidRDefault="00C305B8" w:rsidP="00984DBF">
      <w:pPr>
        <w:ind w:left="720"/>
        <w:contextualSpacing/>
        <w:rPr>
          <w:rFonts w:ascii="Arial" w:hAnsi="Arial" w:cs="Arial"/>
          <w:b/>
          <w:sz w:val="20"/>
          <w:szCs w:val="20"/>
          <w:highlight w:val="yellow"/>
        </w:rPr>
      </w:pPr>
    </w:p>
    <w:p w14:paraId="69C42562" w14:textId="3BBD3FE8" w:rsidR="00C305B8" w:rsidRPr="009A3D6A" w:rsidRDefault="00C305B8" w:rsidP="00984DBF">
      <w:pPr>
        <w:ind w:left="720"/>
        <w:contextualSpacing/>
        <w:rPr>
          <w:rFonts w:ascii="Arial" w:hAnsi="Arial" w:cs="Arial"/>
          <w:b/>
          <w:sz w:val="20"/>
          <w:szCs w:val="20"/>
          <w:highlight w:val="yellow"/>
        </w:rPr>
      </w:pPr>
    </w:p>
    <w:p w14:paraId="66498936" w14:textId="2FFC0C28" w:rsidR="00C305B8" w:rsidRPr="009A3D6A" w:rsidRDefault="00C305B8" w:rsidP="00984DBF">
      <w:pPr>
        <w:ind w:left="720"/>
        <w:contextualSpacing/>
        <w:rPr>
          <w:rFonts w:ascii="Arial" w:hAnsi="Arial" w:cs="Arial"/>
          <w:b/>
          <w:sz w:val="20"/>
          <w:szCs w:val="20"/>
          <w:highlight w:val="yellow"/>
        </w:rPr>
      </w:pPr>
    </w:p>
    <w:p w14:paraId="736B3A36" w14:textId="5435EAE8" w:rsidR="00C305B8" w:rsidRPr="009A3D6A" w:rsidRDefault="00C305B8" w:rsidP="00984DBF">
      <w:pPr>
        <w:ind w:left="720"/>
        <w:contextualSpacing/>
        <w:rPr>
          <w:rFonts w:ascii="Arial" w:hAnsi="Arial" w:cs="Arial"/>
          <w:b/>
          <w:sz w:val="20"/>
          <w:szCs w:val="20"/>
          <w:highlight w:val="yellow"/>
        </w:rPr>
      </w:pPr>
    </w:p>
    <w:p w14:paraId="3381ADE8" w14:textId="5F524D2D" w:rsidR="00C305B8" w:rsidRPr="009A3D6A" w:rsidRDefault="00C305B8" w:rsidP="00984DBF">
      <w:pPr>
        <w:ind w:left="720"/>
        <w:contextualSpacing/>
        <w:rPr>
          <w:rFonts w:ascii="Arial" w:hAnsi="Arial" w:cs="Arial"/>
          <w:b/>
          <w:sz w:val="20"/>
          <w:szCs w:val="20"/>
          <w:highlight w:val="yellow"/>
        </w:rPr>
      </w:pPr>
    </w:p>
    <w:p w14:paraId="7367ADE2" w14:textId="42F2F025" w:rsidR="00C305B8" w:rsidRPr="009A3D6A" w:rsidRDefault="00C305B8" w:rsidP="00984DBF">
      <w:pPr>
        <w:ind w:left="720"/>
        <w:contextualSpacing/>
        <w:rPr>
          <w:rFonts w:ascii="Arial" w:hAnsi="Arial" w:cs="Arial"/>
          <w:b/>
          <w:sz w:val="20"/>
          <w:szCs w:val="20"/>
          <w:highlight w:val="yellow"/>
        </w:rPr>
      </w:pPr>
    </w:p>
    <w:p w14:paraId="7CF38D7C" w14:textId="1334CAF2" w:rsidR="00C305B8" w:rsidRPr="009A3D6A" w:rsidRDefault="00C305B8" w:rsidP="00984DBF">
      <w:pPr>
        <w:ind w:left="720"/>
        <w:contextualSpacing/>
        <w:rPr>
          <w:rFonts w:ascii="Arial" w:hAnsi="Arial" w:cs="Arial"/>
          <w:b/>
          <w:sz w:val="20"/>
          <w:szCs w:val="20"/>
          <w:highlight w:val="yellow"/>
        </w:rPr>
      </w:pPr>
    </w:p>
    <w:p w14:paraId="6B5A714A" w14:textId="41BC7E62" w:rsidR="00C305B8" w:rsidRPr="009A3D6A" w:rsidRDefault="00C305B8" w:rsidP="00984DBF">
      <w:pPr>
        <w:ind w:left="720"/>
        <w:contextualSpacing/>
        <w:rPr>
          <w:rFonts w:ascii="Arial" w:hAnsi="Arial" w:cs="Arial"/>
          <w:b/>
          <w:sz w:val="20"/>
          <w:szCs w:val="20"/>
          <w:highlight w:val="yellow"/>
        </w:rPr>
      </w:pPr>
    </w:p>
    <w:p w14:paraId="774952A9" w14:textId="2198B94C" w:rsidR="00C305B8" w:rsidRPr="009A3D6A" w:rsidRDefault="00C305B8" w:rsidP="00984DBF">
      <w:pPr>
        <w:ind w:left="720"/>
        <w:contextualSpacing/>
        <w:rPr>
          <w:rFonts w:ascii="Arial" w:hAnsi="Arial" w:cs="Arial"/>
          <w:b/>
          <w:sz w:val="20"/>
          <w:szCs w:val="20"/>
          <w:highlight w:val="yellow"/>
        </w:rPr>
      </w:pPr>
    </w:p>
    <w:p w14:paraId="7B0966C2" w14:textId="2ED94DAC" w:rsidR="00C305B8" w:rsidRPr="009A3D6A" w:rsidRDefault="00C305B8" w:rsidP="00984DBF">
      <w:pPr>
        <w:ind w:left="720"/>
        <w:contextualSpacing/>
        <w:rPr>
          <w:rFonts w:ascii="Arial" w:hAnsi="Arial" w:cs="Arial"/>
          <w:b/>
          <w:sz w:val="20"/>
          <w:szCs w:val="20"/>
          <w:highlight w:val="yellow"/>
        </w:rPr>
      </w:pPr>
    </w:p>
    <w:p w14:paraId="6185877D" w14:textId="4B4B3BB3" w:rsidR="00603445" w:rsidRPr="009A3D6A" w:rsidRDefault="00603445" w:rsidP="00984DBF">
      <w:pPr>
        <w:ind w:left="720"/>
        <w:contextualSpacing/>
        <w:rPr>
          <w:rFonts w:ascii="Arial" w:hAnsi="Arial" w:cs="Arial"/>
          <w:b/>
          <w:sz w:val="20"/>
          <w:szCs w:val="20"/>
          <w:highlight w:val="yellow"/>
        </w:rPr>
      </w:pPr>
    </w:p>
    <w:p w14:paraId="203E0FE1" w14:textId="398D59E6" w:rsidR="00603445" w:rsidRPr="009A3D6A" w:rsidRDefault="00603445" w:rsidP="00984DBF">
      <w:pPr>
        <w:ind w:left="720"/>
        <w:contextualSpacing/>
        <w:rPr>
          <w:rFonts w:ascii="Arial" w:hAnsi="Arial" w:cs="Arial"/>
          <w:b/>
          <w:sz w:val="20"/>
          <w:szCs w:val="20"/>
          <w:highlight w:val="yellow"/>
        </w:rPr>
      </w:pPr>
    </w:p>
    <w:p w14:paraId="7EBE9468" w14:textId="2CE1425B" w:rsidR="00603445" w:rsidRPr="009A3D6A" w:rsidRDefault="00603445" w:rsidP="00984DBF">
      <w:pPr>
        <w:ind w:left="720"/>
        <w:contextualSpacing/>
        <w:rPr>
          <w:rFonts w:ascii="Arial" w:hAnsi="Arial" w:cs="Arial"/>
          <w:b/>
          <w:sz w:val="20"/>
          <w:szCs w:val="20"/>
          <w:highlight w:val="yellow"/>
        </w:rPr>
      </w:pPr>
    </w:p>
    <w:p w14:paraId="58BB5781" w14:textId="12EDDC89" w:rsidR="00603445" w:rsidRPr="009A3D6A" w:rsidRDefault="00603445" w:rsidP="00984DBF">
      <w:pPr>
        <w:ind w:left="720"/>
        <w:contextualSpacing/>
        <w:rPr>
          <w:rFonts w:ascii="Arial" w:hAnsi="Arial" w:cs="Arial"/>
          <w:b/>
          <w:sz w:val="20"/>
          <w:szCs w:val="20"/>
          <w:highlight w:val="yellow"/>
        </w:rPr>
      </w:pPr>
    </w:p>
    <w:p w14:paraId="4A322A8B" w14:textId="1519AC6C" w:rsidR="00603445" w:rsidRPr="009A3D6A" w:rsidRDefault="00603445" w:rsidP="00984DBF">
      <w:pPr>
        <w:ind w:left="720"/>
        <w:contextualSpacing/>
        <w:rPr>
          <w:rFonts w:ascii="Arial" w:hAnsi="Arial" w:cs="Arial"/>
          <w:b/>
          <w:sz w:val="20"/>
          <w:szCs w:val="20"/>
          <w:highlight w:val="yellow"/>
        </w:rPr>
      </w:pPr>
    </w:p>
    <w:p w14:paraId="14F86DB3" w14:textId="77777777" w:rsidR="00603445" w:rsidRPr="009A3D6A" w:rsidRDefault="00603445" w:rsidP="00984DBF">
      <w:pPr>
        <w:ind w:left="720"/>
        <w:contextualSpacing/>
        <w:rPr>
          <w:rFonts w:ascii="Arial" w:hAnsi="Arial" w:cs="Arial"/>
          <w:b/>
          <w:sz w:val="20"/>
          <w:szCs w:val="20"/>
          <w:highlight w:val="yellow"/>
        </w:rPr>
      </w:pPr>
    </w:p>
    <w:p w14:paraId="4EAE67C0" w14:textId="408EEC68" w:rsidR="00C305B8" w:rsidRPr="009A3D6A" w:rsidRDefault="00C305B8" w:rsidP="00984DBF">
      <w:pPr>
        <w:ind w:left="720"/>
        <w:contextualSpacing/>
        <w:rPr>
          <w:rFonts w:ascii="Arial" w:hAnsi="Arial" w:cs="Arial"/>
          <w:b/>
          <w:sz w:val="20"/>
          <w:szCs w:val="20"/>
          <w:highlight w:val="yellow"/>
        </w:rPr>
      </w:pPr>
    </w:p>
    <w:p w14:paraId="461022C7" w14:textId="0C6A1A87" w:rsidR="00C305B8" w:rsidRPr="009A3D6A" w:rsidRDefault="00C305B8" w:rsidP="00984DBF">
      <w:pPr>
        <w:ind w:left="720"/>
        <w:contextualSpacing/>
        <w:rPr>
          <w:rFonts w:ascii="Arial" w:hAnsi="Arial" w:cs="Arial"/>
          <w:b/>
          <w:sz w:val="20"/>
          <w:szCs w:val="20"/>
          <w:highlight w:val="yellow"/>
        </w:rPr>
      </w:pPr>
    </w:p>
    <w:p w14:paraId="4DB1850F" w14:textId="77777777" w:rsidR="00E9710F" w:rsidRPr="004B0BCF" w:rsidRDefault="00E9710F" w:rsidP="00984DBF">
      <w:pPr>
        <w:numPr>
          <w:ilvl w:val="0"/>
          <w:numId w:val="27"/>
        </w:numPr>
        <w:spacing w:line="240" w:lineRule="auto"/>
        <w:contextualSpacing/>
        <w:rPr>
          <w:rFonts w:ascii="Arial" w:hAnsi="Arial" w:cs="Arial"/>
          <w:b/>
          <w:sz w:val="20"/>
          <w:szCs w:val="20"/>
        </w:rPr>
      </w:pPr>
      <w:r w:rsidRPr="004B0BCF">
        <w:rPr>
          <w:rFonts w:ascii="Arial" w:hAnsi="Arial" w:cs="Arial"/>
          <w:b/>
          <w:sz w:val="20"/>
          <w:szCs w:val="20"/>
        </w:rPr>
        <w:t>Súhrnné kvantitatívne informácie o odmeňovaní rozčlenené podľa vrcholového manažmentu a pracovníkov, ktorých činnosti majú významný vplyv na profil inštitúcie z hľadiska rizika</w:t>
      </w:r>
    </w:p>
    <w:p w14:paraId="2E4A6831" w14:textId="77777777" w:rsidR="00E9710F" w:rsidRPr="004B0BCF" w:rsidRDefault="00E9710F" w:rsidP="00984DBF">
      <w:pPr>
        <w:spacing w:line="240" w:lineRule="auto"/>
        <w:ind w:left="720"/>
        <w:contextualSpacing/>
        <w:rPr>
          <w:rFonts w:ascii="Arial" w:hAnsi="Arial" w:cs="Arial"/>
          <w:b/>
          <w:sz w:val="20"/>
          <w:szCs w:val="20"/>
        </w:rPr>
      </w:pPr>
    </w:p>
    <w:p w14:paraId="778BEE2C" w14:textId="77777777" w:rsidR="00E9710F" w:rsidRPr="004B0BCF" w:rsidRDefault="00E9710F" w:rsidP="00984DBF">
      <w:pPr>
        <w:spacing w:line="240" w:lineRule="auto"/>
        <w:ind w:left="720"/>
        <w:contextualSpacing/>
        <w:rPr>
          <w:rFonts w:ascii="Arial" w:hAnsi="Arial" w:cs="Arial"/>
          <w:b/>
          <w:sz w:val="20"/>
          <w:szCs w:val="20"/>
        </w:rPr>
      </w:pPr>
      <w:r w:rsidRPr="004B0BCF">
        <w:rPr>
          <w:noProof/>
        </w:rPr>
        <w:drawing>
          <wp:inline distT="0" distB="0" distL="0" distR="0" wp14:anchorId="5E34F9BE" wp14:editId="315DD700">
            <wp:extent cx="5339715" cy="4959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9715" cy="4959985"/>
                    </a:xfrm>
                    <a:prstGeom prst="rect">
                      <a:avLst/>
                    </a:prstGeom>
                    <a:noFill/>
                    <a:ln>
                      <a:noFill/>
                    </a:ln>
                  </pic:spPr>
                </pic:pic>
              </a:graphicData>
            </a:graphic>
          </wp:inline>
        </w:drawing>
      </w:r>
    </w:p>
    <w:p w14:paraId="4E3D0E09" w14:textId="7EA820AE" w:rsidR="00E9710F" w:rsidRPr="004B0BCF" w:rsidRDefault="00E9710F" w:rsidP="00984DBF">
      <w:pPr>
        <w:spacing w:line="240" w:lineRule="auto"/>
        <w:ind w:left="720"/>
        <w:contextualSpacing/>
        <w:rPr>
          <w:rFonts w:ascii="Arial" w:hAnsi="Arial" w:cs="Arial"/>
          <w:b/>
          <w:sz w:val="20"/>
          <w:szCs w:val="20"/>
          <w14:shadow w14:blurRad="50800" w14:dist="50800" w14:dir="5400000" w14:sx="0" w14:sy="0" w14:kx="0" w14:ky="0" w14:algn="ctr">
            <w14:schemeClr w14:val="bg1"/>
          </w14:shadow>
        </w:rPr>
      </w:pPr>
    </w:p>
    <w:p w14:paraId="12FAA255" w14:textId="77777777" w:rsidR="00BF36BB" w:rsidRPr="004B0BCF" w:rsidRDefault="00BF36BB" w:rsidP="00984DBF">
      <w:pPr>
        <w:spacing w:line="240" w:lineRule="auto"/>
        <w:ind w:left="720"/>
        <w:contextualSpacing/>
        <w:rPr>
          <w:rFonts w:ascii="Arial" w:hAnsi="Arial" w:cs="Arial"/>
          <w:b/>
          <w:sz w:val="20"/>
          <w:szCs w:val="20"/>
          <w14:shadow w14:blurRad="50800" w14:dist="50800" w14:dir="5400000" w14:sx="0" w14:sy="0" w14:kx="0" w14:ky="0" w14:algn="ctr">
            <w14:schemeClr w14:val="bg1"/>
          </w14:shadow>
        </w:rPr>
      </w:pPr>
    </w:p>
    <w:p w14:paraId="17505972" w14:textId="77777777" w:rsidR="00E9710F" w:rsidRPr="009A3D6A" w:rsidRDefault="00E9710F" w:rsidP="00984DBF">
      <w:pPr>
        <w:spacing w:line="240" w:lineRule="auto"/>
        <w:ind w:left="720"/>
        <w:contextualSpacing/>
        <w:jc w:val="both"/>
        <w:rPr>
          <w:rFonts w:ascii="Arial" w:hAnsi="Arial" w:cs="Arial"/>
          <w:b/>
          <w:sz w:val="20"/>
          <w:szCs w:val="20"/>
          <w:highlight w:val="yellow"/>
        </w:rPr>
      </w:pPr>
    </w:p>
    <w:p w14:paraId="69B1CC05" w14:textId="77777777" w:rsidR="00E9710F" w:rsidRPr="004B0BCF" w:rsidRDefault="00E9710F" w:rsidP="00984DBF">
      <w:pPr>
        <w:numPr>
          <w:ilvl w:val="0"/>
          <w:numId w:val="27"/>
        </w:numPr>
        <w:spacing w:line="240" w:lineRule="auto"/>
        <w:contextualSpacing/>
        <w:rPr>
          <w:rFonts w:ascii="Arial" w:hAnsi="Arial" w:cs="Arial"/>
          <w:b/>
          <w:sz w:val="20"/>
          <w:szCs w:val="20"/>
        </w:rPr>
      </w:pPr>
      <w:r w:rsidRPr="004B0BCF">
        <w:rPr>
          <w:rFonts w:ascii="Arial" w:hAnsi="Arial" w:cs="Arial"/>
          <w:b/>
          <w:sz w:val="20"/>
          <w:szCs w:val="20"/>
        </w:rPr>
        <w:t>Počet osôb, ktorým boli vyplatené odmeny v sume 1 milión EUR alebo vyššej za finančný rok, v prípade odmien v sume od 1 do 5 mil. EUR v členení na pásma po 500 tis. EUR a v prípade odmien v sume 5 mil. EUR a viac v členení na pásma po 1 mil. EUR</w:t>
      </w:r>
    </w:p>
    <w:p w14:paraId="64ECD559" w14:textId="77777777" w:rsidR="00E9710F" w:rsidRPr="009A3D6A" w:rsidRDefault="00E9710F" w:rsidP="00984DBF">
      <w:pPr>
        <w:spacing w:line="240" w:lineRule="auto"/>
        <w:ind w:left="708"/>
        <w:rPr>
          <w:rFonts w:ascii="Arial" w:hAnsi="Arial" w:cs="Arial"/>
          <w:sz w:val="20"/>
          <w:szCs w:val="20"/>
          <w:highlight w:val="yellow"/>
        </w:rPr>
      </w:pPr>
    </w:p>
    <w:p w14:paraId="5B323814" w14:textId="311C06EA" w:rsidR="000E13AF" w:rsidRPr="00B13FC6" w:rsidRDefault="00603445" w:rsidP="00984DBF">
      <w:pPr>
        <w:spacing w:line="240" w:lineRule="auto"/>
        <w:ind w:left="708"/>
        <w:rPr>
          <w:rFonts w:ascii="Arial" w:hAnsi="Arial" w:cs="Arial"/>
          <w:color w:val="000000" w:themeColor="text1"/>
          <w:sz w:val="20"/>
          <w:szCs w:val="20"/>
        </w:rPr>
      </w:pPr>
      <w:r w:rsidRPr="00682019">
        <w:rPr>
          <w:rFonts w:ascii="Arial" w:hAnsi="Arial" w:cs="Arial"/>
          <w:color w:val="000000" w:themeColor="text1"/>
          <w:sz w:val="20"/>
          <w:szCs w:val="20"/>
        </w:rPr>
        <w:t xml:space="preserve">Za </w:t>
      </w:r>
      <w:r w:rsidR="00682019" w:rsidRPr="00682019">
        <w:rPr>
          <w:rFonts w:ascii="Arial" w:hAnsi="Arial" w:cs="Arial"/>
          <w:color w:val="000000" w:themeColor="text1"/>
          <w:sz w:val="20"/>
          <w:szCs w:val="20"/>
        </w:rPr>
        <w:t>1.štvrťrok</w:t>
      </w:r>
      <w:r w:rsidRPr="00682019">
        <w:rPr>
          <w:rFonts w:ascii="Arial" w:hAnsi="Arial" w:cs="Arial"/>
          <w:color w:val="000000" w:themeColor="text1"/>
          <w:sz w:val="20"/>
          <w:szCs w:val="20"/>
        </w:rPr>
        <w:t xml:space="preserve"> 202</w:t>
      </w:r>
      <w:r w:rsidR="00682019" w:rsidRPr="00682019">
        <w:rPr>
          <w:rFonts w:ascii="Arial" w:hAnsi="Arial" w:cs="Arial"/>
          <w:color w:val="000000" w:themeColor="text1"/>
          <w:sz w:val="20"/>
          <w:szCs w:val="20"/>
        </w:rPr>
        <w:t>1</w:t>
      </w:r>
      <w:r w:rsidRPr="00682019">
        <w:rPr>
          <w:rFonts w:ascii="Arial" w:hAnsi="Arial" w:cs="Arial"/>
          <w:color w:val="000000" w:themeColor="text1"/>
          <w:sz w:val="20"/>
          <w:szCs w:val="20"/>
        </w:rPr>
        <w:t xml:space="preserve"> Banka nevyplatila odmenu viac ako 1 milión EUR žiadnemu členovi vrcholového manažmentu a inému zamestnancovi.</w:t>
      </w:r>
      <w:r w:rsidR="001E6B6D" w:rsidRPr="00B13FC6">
        <w:rPr>
          <w:rFonts w:ascii="Arial" w:hAnsi="Arial" w:cs="Arial"/>
          <w:color w:val="000000" w:themeColor="text1"/>
          <w:sz w:val="20"/>
          <w:szCs w:val="20"/>
        </w:rPr>
        <w:t xml:space="preserve"> </w:t>
      </w:r>
      <w:r w:rsidR="000E13AF" w:rsidRPr="00B13FC6">
        <w:rPr>
          <w:rFonts w:ascii="Arial" w:hAnsi="Arial" w:cs="Arial"/>
          <w:color w:val="000000" w:themeColor="text1"/>
          <w:sz w:val="20"/>
          <w:szCs w:val="20"/>
        </w:rPr>
        <w:t xml:space="preserve"> </w:t>
      </w:r>
    </w:p>
    <w:p w14:paraId="5DFA96BD" w14:textId="174DFCA4" w:rsidR="00BF36BB" w:rsidRPr="00B13FC6" w:rsidRDefault="00BF36BB" w:rsidP="00984DBF">
      <w:pPr>
        <w:spacing w:line="240" w:lineRule="auto"/>
        <w:ind w:left="708"/>
        <w:rPr>
          <w:rFonts w:ascii="Arial" w:hAnsi="Arial" w:cs="Arial"/>
          <w:color w:val="000000" w:themeColor="text1"/>
          <w:sz w:val="20"/>
          <w:szCs w:val="20"/>
        </w:rPr>
      </w:pPr>
    </w:p>
    <w:p w14:paraId="25E1DE72" w14:textId="0641DCB9" w:rsidR="00BF36BB" w:rsidRPr="00B13FC6" w:rsidRDefault="00BF36BB" w:rsidP="00984DBF">
      <w:pPr>
        <w:spacing w:line="240" w:lineRule="auto"/>
        <w:ind w:left="708"/>
        <w:rPr>
          <w:rFonts w:ascii="Arial" w:hAnsi="Arial" w:cs="Arial"/>
          <w:color w:val="000000" w:themeColor="text1"/>
          <w:sz w:val="20"/>
          <w:szCs w:val="20"/>
        </w:rPr>
      </w:pPr>
    </w:p>
    <w:p w14:paraId="27BD4E92" w14:textId="761696E0" w:rsidR="00C305B8" w:rsidRPr="00B13FC6" w:rsidRDefault="00C305B8" w:rsidP="00984DBF">
      <w:pPr>
        <w:spacing w:line="240" w:lineRule="auto"/>
        <w:ind w:left="708"/>
        <w:rPr>
          <w:rFonts w:ascii="Arial" w:hAnsi="Arial" w:cs="Arial"/>
          <w:color w:val="000000" w:themeColor="text1"/>
          <w:sz w:val="20"/>
          <w:szCs w:val="20"/>
        </w:rPr>
      </w:pPr>
    </w:p>
    <w:p w14:paraId="5BA70157" w14:textId="6987F369" w:rsidR="00C305B8" w:rsidRPr="00B13FC6" w:rsidRDefault="00C305B8" w:rsidP="00984DBF">
      <w:pPr>
        <w:spacing w:line="240" w:lineRule="auto"/>
        <w:ind w:left="708"/>
        <w:rPr>
          <w:rFonts w:ascii="Arial" w:hAnsi="Arial" w:cs="Arial"/>
          <w:color w:val="000000" w:themeColor="text1"/>
          <w:sz w:val="20"/>
          <w:szCs w:val="20"/>
        </w:rPr>
      </w:pPr>
    </w:p>
    <w:p w14:paraId="1F91E7DA" w14:textId="4E191599" w:rsidR="00C305B8" w:rsidRPr="00B13FC6" w:rsidRDefault="00C305B8" w:rsidP="00984DBF">
      <w:pPr>
        <w:spacing w:line="240" w:lineRule="auto"/>
        <w:ind w:left="708"/>
        <w:rPr>
          <w:rFonts w:ascii="Arial" w:hAnsi="Arial" w:cs="Arial"/>
          <w:color w:val="000000" w:themeColor="text1"/>
          <w:sz w:val="20"/>
          <w:szCs w:val="20"/>
        </w:rPr>
      </w:pPr>
    </w:p>
    <w:p w14:paraId="335E7D07" w14:textId="1627F266" w:rsidR="00C305B8" w:rsidRPr="00B13FC6" w:rsidRDefault="00C305B8" w:rsidP="00984DBF">
      <w:pPr>
        <w:spacing w:line="240" w:lineRule="auto"/>
        <w:ind w:left="708"/>
        <w:rPr>
          <w:rFonts w:ascii="Arial" w:hAnsi="Arial" w:cs="Arial"/>
          <w:color w:val="000000" w:themeColor="text1"/>
          <w:sz w:val="20"/>
          <w:szCs w:val="20"/>
        </w:rPr>
      </w:pPr>
    </w:p>
    <w:p w14:paraId="158AE27D" w14:textId="77777777" w:rsidR="00C305B8" w:rsidRPr="00B13FC6" w:rsidRDefault="00C305B8" w:rsidP="00984DBF">
      <w:pPr>
        <w:spacing w:line="240" w:lineRule="auto"/>
        <w:ind w:left="708"/>
        <w:rPr>
          <w:rFonts w:ascii="Arial" w:hAnsi="Arial" w:cs="Arial"/>
          <w:color w:val="000000" w:themeColor="text1"/>
          <w:sz w:val="20"/>
          <w:szCs w:val="20"/>
        </w:rPr>
      </w:pPr>
    </w:p>
    <w:p w14:paraId="2FA7CEBE" w14:textId="5C9616D2" w:rsidR="00BA3439" w:rsidRDefault="00BA3439" w:rsidP="00BF36BB">
      <w:pPr>
        <w:spacing w:line="240" w:lineRule="auto"/>
        <w:ind w:left="708"/>
        <w:jc w:val="center"/>
        <w:rPr>
          <w:rFonts w:ascii="Arial" w:hAnsi="Arial" w:cs="Arial"/>
          <w:b/>
          <w:color w:val="000000" w:themeColor="text1"/>
          <w:sz w:val="26"/>
          <w:szCs w:val="26"/>
        </w:rPr>
      </w:pPr>
      <w:r w:rsidRPr="00B13FC6">
        <w:rPr>
          <w:rFonts w:ascii="Arial" w:hAnsi="Arial" w:cs="Arial"/>
          <w:b/>
          <w:color w:val="000000" w:themeColor="text1"/>
          <w:sz w:val="26"/>
          <w:szCs w:val="26"/>
        </w:rPr>
        <w:t>Článok 451 – Finančná páka</w:t>
      </w:r>
    </w:p>
    <w:p w14:paraId="04F65D9E" w14:textId="77777777" w:rsidR="00E87471" w:rsidRPr="00B13FC6" w:rsidRDefault="00E87471" w:rsidP="00BF36BB">
      <w:pPr>
        <w:spacing w:line="240" w:lineRule="auto"/>
        <w:ind w:left="708"/>
        <w:jc w:val="center"/>
        <w:rPr>
          <w:rFonts w:ascii="Arial" w:hAnsi="Arial" w:cs="Arial"/>
          <w:b/>
          <w:color w:val="000000" w:themeColor="text1"/>
          <w:sz w:val="26"/>
          <w:szCs w:val="26"/>
        </w:rPr>
      </w:pPr>
    </w:p>
    <w:p w14:paraId="53B32CC2" w14:textId="77777777" w:rsidR="00BA3439" w:rsidRPr="009C6D5F" w:rsidRDefault="00BA3439" w:rsidP="00E87471">
      <w:pPr>
        <w:ind w:left="426" w:firstLine="282"/>
        <w:rPr>
          <w:rFonts w:ascii="Arial" w:hAnsi="Arial" w:cs="Arial"/>
          <w:b/>
          <w:color w:val="000000" w:themeColor="text1"/>
          <w:sz w:val="20"/>
          <w:szCs w:val="20"/>
        </w:rPr>
      </w:pPr>
      <w:r w:rsidRPr="009C6D5F">
        <w:rPr>
          <w:rFonts w:ascii="Arial" w:hAnsi="Arial" w:cs="Arial"/>
          <w:b/>
          <w:color w:val="000000" w:themeColor="text1"/>
          <w:sz w:val="20"/>
          <w:szCs w:val="20"/>
        </w:rPr>
        <w:t>Bod 1 a) – e)</w:t>
      </w:r>
    </w:p>
    <w:p w14:paraId="761A39F9" w14:textId="15D4FD24" w:rsidR="00BF36BB" w:rsidRPr="009C6D5F" w:rsidRDefault="00BF36BB" w:rsidP="00BF36BB">
      <w:pPr>
        <w:spacing w:line="240" w:lineRule="auto"/>
        <w:ind w:left="708"/>
        <w:rPr>
          <w:rFonts w:ascii="Arial" w:hAnsi="Arial" w:cs="Arial"/>
          <w:color w:val="000000" w:themeColor="text1"/>
          <w:sz w:val="20"/>
          <w:szCs w:val="20"/>
        </w:rPr>
      </w:pPr>
    </w:p>
    <w:permStart w:id="2049591160" w:edGrp="everyone"/>
    <w:p w14:paraId="59B85202" w14:textId="74376111" w:rsidR="00F33F13" w:rsidRDefault="0042644B" w:rsidP="00BF36BB">
      <w:pPr>
        <w:spacing w:line="240" w:lineRule="auto"/>
        <w:ind w:left="708"/>
        <w:rPr>
          <w:rFonts w:ascii="Arial" w:hAnsi="Arial" w:cs="Arial"/>
          <w:color w:val="000000" w:themeColor="text1"/>
          <w:sz w:val="20"/>
          <w:szCs w:val="20"/>
        </w:rPr>
      </w:pPr>
      <w:r>
        <w:rPr>
          <w:rFonts w:ascii="Arial" w:hAnsi="Arial" w:cs="Arial"/>
          <w:color w:val="000000" w:themeColor="text1"/>
          <w:sz w:val="20"/>
          <w:szCs w:val="20"/>
        </w:rPr>
        <w:object w:dxaOrig="1440" w:dyaOrig="932" w14:anchorId="19512F4D">
          <v:shape id="_x0000_i1030" type="#_x0000_t75" style="width:1in;height:46.5pt" o:ole="">
            <v:imagedata r:id="rId22" o:title=""/>
          </v:shape>
          <o:OLEObject Type="Embed" ProgID="AcroExch.Document.DC" ShapeID="_x0000_i1030" DrawAspect="Icon" ObjectID="_1682488516" r:id="rId23"/>
        </w:object>
      </w:r>
      <w:permEnd w:id="2049591160"/>
    </w:p>
    <w:p w14:paraId="20CA41D0" w14:textId="77777777" w:rsidR="00E87471" w:rsidRPr="009C6D5F" w:rsidRDefault="00E87471" w:rsidP="00BF36BB">
      <w:pPr>
        <w:spacing w:line="240" w:lineRule="auto"/>
        <w:ind w:left="708"/>
        <w:rPr>
          <w:rFonts w:ascii="Arial" w:hAnsi="Arial" w:cs="Arial"/>
          <w:color w:val="000000" w:themeColor="text1"/>
          <w:sz w:val="20"/>
          <w:szCs w:val="20"/>
        </w:rPr>
      </w:pPr>
    </w:p>
    <w:p w14:paraId="06DB4DB6" w14:textId="4CA75C0E" w:rsidR="00BA3439" w:rsidRPr="009C6D5F" w:rsidRDefault="00BA3439" w:rsidP="00BF36BB">
      <w:pPr>
        <w:spacing w:line="240" w:lineRule="auto"/>
        <w:ind w:left="708"/>
        <w:jc w:val="center"/>
        <w:rPr>
          <w:rFonts w:ascii="Arial" w:hAnsi="Arial" w:cs="Arial"/>
          <w:b/>
          <w:color w:val="000000" w:themeColor="text1"/>
          <w:sz w:val="26"/>
          <w:szCs w:val="26"/>
        </w:rPr>
      </w:pPr>
      <w:r w:rsidRPr="009C6D5F">
        <w:rPr>
          <w:rFonts w:ascii="Arial" w:hAnsi="Arial" w:cs="Arial"/>
          <w:b/>
          <w:color w:val="000000" w:themeColor="text1"/>
          <w:sz w:val="26"/>
          <w:szCs w:val="26"/>
        </w:rPr>
        <w:t>Článok 473a – Prechodné opatrenia na zmiernenie vplyvu zavedenia IFRS9 na vlastné zdroje</w:t>
      </w:r>
    </w:p>
    <w:p w14:paraId="361C4052" w14:textId="77777777" w:rsidR="00BF36BB" w:rsidRPr="009C6D5F" w:rsidRDefault="00BF36BB" w:rsidP="00BF36BB">
      <w:pPr>
        <w:spacing w:line="240" w:lineRule="auto"/>
        <w:ind w:left="708"/>
        <w:jc w:val="center"/>
        <w:rPr>
          <w:rFonts w:ascii="Arial" w:hAnsi="Arial" w:cs="Arial"/>
          <w:b/>
          <w:color w:val="000000" w:themeColor="text1"/>
          <w:sz w:val="26"/>
          <w:szCs w:val="26"/>
        </w:rPr>
      </w:pPr>
    </w:p>
    <w:permStart w:id="301748199" w:edGrp="everyone"/>
    <w:p w14:paraId="25D55550" w14:textId="7D32130F" w:rsidR="00BA3439" w:rsidRPr="00B13FC6" w:rsidRDefault="0042644B" w:rsidP="00984DBF">
      <w:pPr>
        <w:spacing w:before="200"/>
        <w:ind w:left="709"/>
        <w:rPr>
          <w:rFonts w:ascii="Arial" w:hAnsi="Arial" w:cs="Arial"/>
          <w:b/>
          <w:color w:val="000000" w:themeColor="text1"/>
          <w:sz w:val="26"/>
          <w:szCs w:val="26"/>
        </w:rPr>
      </w:pPr>
      <w:r>
        <w:rPr>
          <w:rFonts w:ascii="Arial" w:hAnsi="Arial" w:cs="Arial"/>
          <w:b/>
          <w:color w:val="000000" w:themeColor="text1"/>
          <w:sz w:val="26"/>
          <w:szCs w:val="26"/>
        </w:rPr>
        <w:object w:dxaOrig="1440" w:dyaOrig="932" w14:anchorId="3BB0654A">
          <v:shape id="_x0000_i1031" type="#_x0000_t75" style="width:1in;height:46.5pt" o:ole="">
            <v:imagedata r:id="rId24" o:title=""/>
          </v:shape>
          <o:OLEObject Type="Embed" ProgID="AcroExch.Document.DC" ShapeID="_x0000_i1031" DrawAspect="Icon" ObjectID="_1682488517" r:id="rId25"/>
        </w:object>
      </w:r>
      <w:permEnd w:id="301748199"/>
    </w:p>
    <w:p w14:paraId="0436ACBE" w14:textId="77777777" w:rsidR="00D44AD8" w:rsidRPr="00B13FC6" w:rsidRDefault="00D44AD8" w:rsidP="00984DBF">
      <w:pPr>
        <w:spacing w:before="200"/>
        <w:rPr>
          <w:rFonts w:ascii="Arial" w:hAnsi="Arial" w:cs="Arial"/>
          <w:b/>
          <w:color w:val="0000FF"/>
          <w:sz w:val="26"/>
          <w:szCs w:val="26"/>
        </w:rPr>
      </w:pPr>
    </w:p>
    <w:p w14:paraId="408D9DDC" w14:textId="77777777" w:rsidR="00613BCD" w:rsidRPr="00B13FC6" w:rsidRDefault="00613BCD" w:rsidP="00D44AD8">
      <w:pPr>
        <w:spacing w:before="200"/>
        <w:ind w:right="-425"/>
        <w:jc w:val="center"/>
      </w:pPr>
    </w:p>
    <w:sectPr w:rsidR="00613BCD" w:rsidRPr="00B13FC6" w:rsidSect="00835A7F">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E0AB9" w14:textId="77777777" w:rsidR="00EA44EA" w:rsidRDefault="00EA44EA" w:rsidP="00C60CC2">
      <w:pPr>
        <w:spacing w:after="0" w:line="240" w:lineRule="auto"/>
      </w:pPr>
      <w:r>
        <w:separator/>
      </w:r>
    </w:p>
  </w:endnote>
  <w:endnote w:type="continuationSeparator" w:id="0">
    <w:p w14:paraId="75C60A8A" w14:textId="77777777" w:rsidR="00EA44EA" w:rsidRDefault="00EA44EA" w:rsidP="00C60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152251"/>
      <w:docPartObj>
        <w:docPartGallery w:val="Page Numbers (Bottom of Page)"/>
        <w:docPartUnique/>
      </w:docPartObj>
    </w:sdtPr>
    <w:sdtEndPr/>
    <w:sdtContent>
      <w:sdt>
        <w:sdtPr>
          <w:id w:val="-851879633"/>
          <w:docPartObj>
            <w:docPartGallery w:val="Page Numbers (Top of Page)"/>
            <w:docPartUnique/>
          </w:docPartObj>
        </w:sdtPr>
        <w:sdtEndPr/>
        <w:sdtContent>
          <w:p w14:paraId="53DA7407" w14:textId="2AC8AAC3" w:rsidR="00EA44EA" w:rsidRDefault="00EA44EA">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6470EC">
              <w:rPr>
                <w:b/>
                <w:bCs/>
                <w:noProof/>
              </w:rPr>
              <w:t>21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6470EC">
              <w:rPr>
                <w:b/>
                <w:bCs/>
                <w:noProof/>
              </w:rPr>
              <w:t>33</w:t>
            </w:r>
            <w:r>
              <w:rPr>
                <w:b/>
                <w:bCs/>
                <w:sz w:val="24"/>
                <w:szCs w:val="24"/>
              </w:rPr>
              <w:fldChar w:fldCharType="end"/>
            </w:r>
          </w:p>
        </w:sdtContent>
      </w:sdt>
    </w:sdtContent>
  </w:sdt>
  <w:p w14:paraId="7EA205A8" w14:textId="77777777" w:rsidR="00EA44EA" w:rsidRDefault="00EA4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476301"/>
      <w:docPartObj>
        <w:docPartGallery w:val="Page Numbers (Bottom of Page)"/>
        <w:docPartUnique/>
      </w:docPartObj>
    </w:sdtPr>
    <w:sdtEndPr/>
    <w:sdtContent>
      <w:sdt>
        <w:sdtPr>
          <w:id w:val="804428268"/>
          <w:docPartObj>
            <w:docPartGallery w:val="Page Numbers (Top of Page)"/>
            <w:docPartUnique/>
          </w:docPartObj>
        </w:sdtPr>
        <w:sdtEndPr/>
        <w:sdtContent>
          <w:p w14:paraId="6A82FEC8" w14:textId="08867760" w:rsidR="00EA44EA" w:rsidRDefault="00EA44EA">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6470EC">
              <w:rPr>
                <w:b/>
                <w:bCs/>
                <w:noProof/>
              </w:rPr>
              <w:t>26</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6470EC">
              <w:rPr>
                <w:b/>
                <w:bCs/>
                <w:noProof/>
              </w:rPr>
              <w:t>33</w:t>
            </w:r>
            <w:r>
              <w:rPr>
                <w:b/>
                <w:bCs/>
                <w:sz w:val="24"/>
                <w:szCs w:val="24"/>
              </w:rPr>
              <w:fldChar w:fldCharType="end"/>
            </w:r>
          </w:p>
        </w:sdtContent>
      </w:sdt>
    </w:sdtContent>
  </w:sdt>
  <w:p w14:paraId="3E75229C" w14:textId="77777777" w:rsidR="00EA44EA" w:rsidRDefault="00EA4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3916F" w14:textId="77777777" w:rsidR="00EA44EA" w:rsidRDefault="00EA44EA" w:rsidP="00C60CC2">
      <w:pPr>
        <w:spacing w:after="0" w:line="240" w:lineRule="auto"/>
      </w:pPr>
      <w:r>
        <w:separator/>
      </w:r>
    </w:p>
  </w:footnote>
  <w:footnote w:type="continuationSeparator" w:id="0">
    <w:p w14:paraId="63A5000C" w14:textId="77777777" w:rsidR="00EA44EA" w:rsidRDefault="00EA44EA" w:rsidP="00C60CC2">
      <w:pPr>
        <w:spacing w:after="0" w:line="240" w:lineRule="auto"/>
      </w:pPr>
      <w:r>
        <w:continuationSeparator/>
      </w:r>
    </w:p>
  </w:footnote>
  <w:footnote w:id="1">
    <w:p w14:paraId="6B853974" w14:textId="77777777" w:rsidR="00EA44EA" w:rsidRDefault="00EA44EA" w:rsidP="00C60CC2">
      <w:pPr>
        <w:pStyle w:val="FootnoteText"/>
      </w:pPr>
      <w:r w:rsidRPr="0079699D">
        <w:rPr>
          <w:rStyle w:val="FootnoteReference"/>
        </w:rPr>
        <w:footnoteRef/>
      </w:r>
      <w:r w:rsidRPr="0079699D">
        <w:t xml:space="preserve"> Nariadenie EÚ č. 575/2013 v znení neskorších predpisov</w:t>
      </w:r>
    </w:p>
  </w:footnote>
  <w:footnote w:id="2">
    <w:p w14:paraId="2B7FFAE0" w14:textId="563280C7" w:rsidR="00EA44EA" w:rsidRPr="000C0241" w:rsidRDefault="00EA44EA" w:rsidP="005B5A40">
      <w:pPr>
        <w:pStyle w:val="FootnoteText"/>
        <w:rPr>
          <w:color w:val="000000" w:themeColor="text1"/>
        </w:rPr>
      </w:pPr>
      <w:r w:rsidRPr="002C57C8">
        <w:rPr>
          <w:rStyle w:val="FootnoteReference"/>
          <w:color w:val="000000" w:themeColor="text1"/>
        </w:rPr>
        <w:footnoteRef/>
      </w:r>
      <w:r w:rsidRPr="002C57C8">
        <w:rPr>
          <w:color w:val="000000" w:themeColor="text1"/>
        </w:rPr>
        <w:t xml:space="preserve"> Výpočet v zmysle Nariadenia (EÚ) č. 183/2014 pre špecifické a všeobecné úpravy kreditného rizika podľa stavu k 31.</w:t>
      </w:r>
      <w:r>
        <w:rPr>
          <w:color w:val="000000" w:themeColor="text1"/>
        </w:rPr>
        <w:t>03</w:t>
      </w:r>
      <w:r w:rsidRPr="002C57C8">
        <w:rPr>
          <w:color w:val="000000" w:themeColor="text1"/>
        </w:rPr>
        <w:t>.202</w:t>
      </w:r>
      <w:r>
        <w:rPr>
          <w:color w:val="000000" w:themeColor="text1"/>
        </w:rPr>
        <w:t>1</w:t>
      </w:r>
      <w:r w:rsidRPr="002C57C8">
        <w:rPr>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42B9"/>
    <w:multiLevelType w:val="hybridMultilevel"/>
    <w:tmpl w:val="E66A0DA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 w15:restartNumberingAfterBreak="0">
    <w:nsid w:val="016530A9"/>
    <w:multiLevelType w:val="hybridMultilevel"/>
    <w:tmpl w:val="98905C0A"/>
    <w:lvl w:ilvl="0" w:tplc="041B0017">
      <w:start w:val="1"/>
      <w:numFmt w:val="lowerLetter"/>
      <w:lvlText w:val="%1)"/>
      <w:lvlJc w:val="left"/>
      <w:pPr>
        <w:ind w:left="3054" w:hanging="360"/>
      </w:pPr>
      <w:rPr>
        <w:rFonts w:hint="default"/>
      </w:rPr>
    </w:lvl>
    <w:lvl w:ilvl="1" w:tplc="041B0019" w:tentative="1">
      <w:start w:val="1"/>
      <w:numFmt w:val="lowerLetter"/>
      <w:lvlText w:val="%2."/>
      <w:lvlJc w:val="left"/>
      <w:pPr>
        <w:ind w:left="3774" w:hanging="360"/>
      </w:pPr>
    </w:lvl>
    <w:lvl w:ilvl="2" w:tplc="041B001B" w:tentative="1">
      <w:start w:val="1"/>
      <w:numFmt w:val="lowerRoman"/>
      <w:lvlText w:val="%3."/>
      <w:lvlJc w:val="right"/>
      <w:pPr>
        <w:ind w:left="4494" w:hanging="180"/>
      </w:pPr>
    </w:lvl>
    <w:lvl w:ilvl="3" w:tplc="041B000F" w:tentative="1">
      <w:start w:val="1"/>
      <w:numFmt w:val="decimal"/>
      <w:lvlText w:val="%4."/>
      <w:lvlJc w:val="left"/>
      <w:pPr>
        <w:ind w:left="5214" w:hanging="360"/>
      </w:pPr>
    </w:lvl>
    <w:lvl w:ilvl="4" w:tplc="041B0019" w:tentative="1">
      <w:start w:val="1"/>
      <w:numFmt w:val="lowerLetter"/>
      <w:lvlText w:val="%5."/>
      <w:lvlJc w:val="left"/>
      <w:pPr>
        <w:ind w:left="5934" w:hanging="360"/>
      </w:pPr>
    </w:lvl>
    <w:lvl w:ilvl="5" w:tplc="041B001B" w:tentative="1">
      <w:start w:val="1"/>
      <w:numFmt w:val="lowerRoman"/>
      <w:lvlText w:val="%6."/>
      <w:lvlJc w:val="right"/>
      <w:pPr>
        <w:ind w:left="6654" w:hanging="180"/>
      </w:pPr>
    </w:lvl>
    <w:lvl w:ilvl="6" w:tplc="041B000F" w:tentative="1">
      <w:start w:val="1"/>
      <w:numFmt w:val="decimal"/>
      <w:lvlText w:val="%7."/>
      <w:lvlJc w:val="left"/>
      <w:pPr>
        <w:ind w:left="7374" w:hanging="360"/>
      </w:pPr>
    </w:lvl>
    <w:lvl w:ilvl="7" w:tplc="041B0019" w:tentative="1">
      <w:start w:val="1"/>
      <w:numFmt w:val="lowerLetter"/>
      <w:lvlText w:val="%8."/>
      <w:lvlJc w:val="left"/>
      <w:pPr>
        <w:ind w:left="8094" w:hanging="360"/>
      </w:pPr>
    </w:lvl>
    <w:lvl w:ilvl="8" w:tplc="041B001B" w:tentative="1">
      <w:start w:val="1"/>
      <w:numFmt w:val="lowerRoman"/>
      <w:lvlText w:val="%9."/>
      <w:lvlJc w:val="right"/>
      <w:pPr>
        <w:ind w:left="8814" w:hanging="180"/>
      </w:pPr>
    </w:lvl>
  </w:abstractNum>
  <w:abstractNum w:abstractNumId="2" w15:restartNumberingAfterBreak="0">
    <w:nsid w:val="0B2F4E58"/>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F6D0D91"/>
    <w:multiLevelType w:val="hybridMultilevel"/>
    <w:tmpl w:val="AFCE0412"/>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06407D3"/>
    <w:multiLevelType w:val="hybridMultilevel"/>
    <w:tmpl w:val="ECDC657A"/>
    <w:lvl w:ilvl="0" w:tplc="48AA3A0C">
      <w:numFmt w:val="bullet"/>
      <w:lvlText w:val="-"/>
      <w:lvlJc w:val="left"/>
      <w:pPr>
        <w:tabs>
          <w:tab w:val="num" w:pos="992"/>
        </w:tabs>
        <w:ind w:left="992" w:hanging="284"/>
      </w:pPr>
      <w:rPr>
        <w:rFonts w:ascii="Arial" w:eastAsia="SimSun" w:hAnsi="Arial" w:hint="default"/>
      </w:rPr>
    </w:lvl>
    <w:lvl w:ilvl="1" w:tplc="8C4CE8EE">
      <w:start w:val="2"/>
      <w:numFmt w:val="bullet"/>
      <w:lvlText w:val="-"/>
      <w:lvlJc w:val="left"/>
      <w:rPr>
        <w:rFonts w:ascii="Arial" w:eastAsia="Times New Roman" w:hAnsi="Arial" w:cs="Aria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3740620"/>
    <w:multiLevelType w:val="hybridMultilevel"/>
    <w:tmpl w:val="84B478A4"/>
    <w:lvl w:ilvl="0" w:tplc="C84A3C74">
      <w:start w:val="1"/>
      <w:numFmt w:val="low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16572E98"/>
    <w:multiLevelType w:val="hybridMultilevel"/>
    <w:tmpl w:val="8F0672EC"/>
    <w:lvl w:ilvl="0" w:tplc="686C7986">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15:restartNumberingAfterBreak="0">
    <w:nsid w:val="19C0191C"/>
    <w:multiLevelType w:val="hybridMultilevel"/>
    <w:tmpl w:val="FB36DB64"/>
    <w:lvl w:ilvl="0" w:tplc="E71830C4">
      <w:start w:val="7"/>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D3A6F65"/>
    <w:multiLevelType w:val="hybridMultilevel"/>
    <w:tmpl w:val="F84C101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9" w15:restartNumberingAfterBreak="0">
    <w:nsid w:val="1F606B45"/>
    <w:multiLevelType w:val="hybridMultilevel"/>
    <w:tmpl w:val="5180FB88"/>
    <w:lvl w:ilvl="0" w:tplc="4C445DDE">
      <w:start w:val="1"/>
      <w:numFmt w:val="lowerLetter"/>
      <w:lvlText w:val="%1)"/>
      <w:lvlJc w:val="left"/>
      <w:pPr>
        <w:ind w:left="1430" w:hanging="360"/>
      </w:pPr>
      <w:rPr>
        <w:rFonts w:hint="default"/>
        <w:b/>
      </w:rPr>
    </w:lvl>
    <w:lvl w:ilvl="1" w:tplc="041B0019" w:tentative="1">
      <w:start w:val="1"/>
      <w:numFmt w:val="lowerLetter"/>
      <w:lvlText w:val="%2."/>
      <w:lvlJc w:val="left"/>
      <w:pPr>
        <w:ind w:left="2150" w:hanging="360"/>
      </w:pPr>
    </w:lvl>
    <w:lvl w:ilvl="2" w:tplc="041B001B" w:tentative="1">
      <w:start w:val="1"/>
      <w:numFmt w:val="lowerRoman"/>
      <w:lvlText w:val="%3."/>
      <w:lvlJc w:val="right"/>
      <w:pPr>
        <w:ind w:left="2870" w:hanging="180"/>
      </w:pPr>
    </w:lvl>
    <w:lvl w:ilvl="3" w:tplc="041B000F" w:tentative="1">
      <w:start w:val="1"/>
      <w:numFmt w:val="decimal"/>
      <w:lvlText w:val="%4."/>
      <w:lvlJc w:val="left"/>
      <w:pPr>
        <w:ind w:left="3590" w:hanging="360"/>
      </w:pPr>
    </w:lvl>
    <w:lvl w:ilvl="4" w:tplc="041B0019" w:tentative="1">
      <w:start w:val="1"/>
      <w:numFmt w:val="lowerLetter"/>
      <w:lvlText w:val="%5."/>
      <w:lvlJc w:val="left"/>
      <w:pPr>
        <w:ind w:left="4310" w:hanging="360"/>
      </w:pPr>
    </w:lvl>
    <w:lvl w:ilvl="5" w:tplc="041B001B" w:tentative="1">
      <w:start w:val="1"/>
      <w:numFmt w:val="lowerRoman"/>
      <w:lvlText w:val="%6."/>
      <w:lvlJc w:val="right"/>
      <w:pPr>
        <w:ind w:left="5030" w:hanging="180"/>
      </w:pPr>
    </w:lvl>
    <w:lvl w:ilvl="6" w:tplc="041B000F" w:tentative="1">
      <w:start w:val="1"/>
      <w:numFmt w:val="decimal"/>
      <w:lvlText w:val="%7."/>
      <w:lvlJc w:val="left"/>
      <w:pPr>
        <w:ind w:left="5750" w:hanging="360"/>
      </w:pPr>
    </w:lvl>
    <w:lvl w:ilvl="7" w:tplc="041B0019" w:tentative="1">
      <w:start w:val="1"/>
      <w:numFmt w:val="lowerLetter"/>
      <w:lvlText w:val="%8."/>
      <w:lvlJc w:val="left"/>
      <w:pPr>
        <w:ind w:left="6470" w:hanging="360"/>
      </w:pPr>
    </w:lvl>
    <w:lvl w:ilvl="8" w:tplc="041B001B" w:tentative="1">
      <w:start w:val="1"/>
      <w:numFmt w:val="lowerRoman"/>
      <w:lvlText w:val="%9."/>
      <w:lvlJc w:val="right"/>
      <w:pPr>
        <w:ind w:left="7190" w:hanging="180"/>
      </w:pPr>
    </w:lvl>
  </w:abstractNum>
  <w:abstractNum w:abstractNumId="10" w15:restartNumberingAfterBreak="0">
    <w:nsid w:val="2D7C1E9B"/>
    <w:multiLevelType w:val="hybridMultilevel"/>
    <w:tmpl w:val="BE0ED5E6"/>
    <w:lvl w:ilvl="0" w:tplc="CE9A893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F091CFB"/>
    <w:multiLevelType w:val="hybridMultilevel"/>
    <w:tmpl w:val="24F43226"/>
    <w:lvl w:ilvl="0" w:tplc="4C1C33AE">
      <w:start w:val="1"/>
      <w:numFmt w:val="lowerLetter"/>
      <w:lvlText w:val="%1)"/>
      <w:lvlJc w:val="left"/>
      <w:pPr>
        <w:tabs>
          <w:tab w:val="num" w:pos="720"/>
        </w:tabs>
        <w:ind w:left="720" w:hanging="360"/>
      </w:pPr>
      <w:rPr>
        <w:rFonts w:ascii="Arial" w:eastAsia="Times New Roman"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1E56A5"/>
    <w:multiLevelType w:val="hybridMultilevel"/>
    <w:tmpl w:val="607E2990"/>
    <w:lvl w:ilvl="0" w:tplc="7F36A174">
      <w:start w:val="1"/>
      <w:numFmt w:val="lowerLetter"/>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1281908"/>
    <w:multiLevelType w:val="hybridMultilevel"/>
    <w:tmpl w:val="EF5648A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1E83B8D"/>
    <w:multiLevelType w:val="hybridMultilevel"/>
    <w:tmpl w:val="9544BCA0"/>
    <w:lvl w:ilvl="0" w:tplc="8C4CE8EE">
      <w:start w:val="2"/>
      <w:numFmt w:val="bullet"/>
      <w:lvlText w:val="-"/>
      <w:lvlJc w:val="left"/>
      <w:pPr>
        <w:ind w:left="1068" w:hanging="360"/>
      </w:pPr>
      <w:rPr>
        <w:rFonts w:ascii="Arial" w:eastAsia="Times New Roman" w:hAnsi="Arial" w:cs="Aria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 w15:restartNumberingAfterBreak="0">
    <w:nsid w:val="360D5780"/>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7700D3E"/>
    <w:multiLevelType w:val="hybridMultilevel"/>
    <w:tmpl w:val="68D42EFA"/>
    <w:lvl w:ilvl="0" w:tplc="9ED00DF2">
      <w:start w:val="8"/>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A98214A"/>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17150E8"/>
    <w:multiLevelType w:val="hybridMultilevel"/>
    <w:tmpl w:val="CABE7E10"/>
    <w:lvl w:ilvl="0" w:tplc="9FB2EE34">
      <w:start w:val="1"/>
      <w:numFmt w:val="lowerLetter"/>
      <w:lvlText w:val="%1)"/>
      <w:lvlJc w:val="left"/>
      <w:pPr>
        <w:tabs>
          <w:tab w:val="num" w:pos="643"/>
        </w:tabs>
        <w:ind w:left="643" w:hanging="360"/>
      </w:pPr>
      <w:rPr>
        <w:rFonts w:hint="default"/>
        <w:b w:val="0"/>
        <w:color w:val="auto"/>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19" w15:restartNumberingAfterBreak="0">
    <w:nsid w:val="46114D20"/>
    <w:multiLevelType w:val="hybridMultilevel"/>
    <w:tmpl w:val="CE66DF48"/>
    <w:lvl w:ilvl="0" w:tplc="05AC0608">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0" w15:restartNumberingAfterBreak="0">
    <w:nsid w:val="479C7326"/>
    <w:multiLevelType w:val="hybridMultilevel"/>
    <w:tmpl w:val="B53EC2D4"/>
    <w:lvl w:ilvl="0" w:tplc="3E42FB5C">
      <w:start w:val="6"/>
      <w:numFmt w:val="lowerLetter"/>
      <w:lvlText w:val="%1)"/>
      <w:lvlJc w:val="left"/>
      <w:pPr>
        <w:tabs>
          <w:tab w:val="num" w:pos="360"/>
        </w:tabs>
        <w:ind w:left="360" w:hanging="360"/>
      </w:pPr>
      <w:rPr>
        <w:rFonts w:hint="default"/>
        <w:b/>
        <w:color w:val="auto"/>
        <w:sz w:val="20"/>
        <w:szCs w:val="2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49411573"/>
    <w:multiLevelType w:val="hybridMultilevel"/>
    <w:tmpl w:val="0BE81916"/>
    <w:lvl w:ilvl="0" w:tplc="20D01142">
      <w:start w:val="4"/>
      <w:numFmt w:val="lowerLetter"/>
      <w:lvlText w:val="%1)"/>
      <w:lvlJc w:val="left"/>
      <w:pPr>
        <w:tabs>
          <w:tab w:val="num" w:pos="360"/>
        </w:tabs>
        <w:ind w:left="360" w:hanging="360"/>
      </w:pPr>
      <w:rPr>
        <w:rFonts w:hint="default"/>
        <w:b/>
        <w:color w:val="auto"/>
      </w:rPr>
    </w:lvl>
    <w:lvl w:ilvl="1" w:tplc="041B0019" w:tentative="1">
      <w:start w:val="1"/>
      <w:numFmt w:val="lowerLetter"/>
      <w:lvlText w:val="%2."/>
      <w:lvlJc w:val="left"/>
      <w:pPr>
        <w:ind w:left="1157" w:hanging="360"/>
      </w:pPr>
    </w:lvl>
    <w:lvl w:ilvl="2" w:tplc="041B001B" w:tentative="1">
      <w:start w:val="1"/>
      <w:numFmt w:val="lowerRoman"/>
      <w:lvlText w:val="%3."/>
      <w:lvlJc w:val="right"/>
      <w:pPr>
        <w:ind w:left="1877" w:hanging="180"/>
      </w:pPr>
    </w:lvl>
    <w:lvl w:ilvl="3" w:tplc="041B000F" w:tentative="1">
      <w:start w:val="1"/>
      <w:numFmt w:val="decimal"/>
      <w:lvlText w:val="%4."/>
      <w:lvlJc w:val="left"/>
      <w:pPr>
        <w:ind w:left="2597" w:hanging="360"/>
      </w:pPr>
    </w:lvl>
    <w:lvl w:ilvl="4" w:tplc="041B0019" w:tentative="1">
      <w:start w:val="1"/>
      <w:numFmt w:val="lowerLetter"/>
      <w:lvlText w:val="%5."/>
      <w:lvlJc w:val="left"/>
      <w:pPr>
        <w:ind w:left="3317" w:hanging="360"/>
      </w:pPr>
    </w:lvl>
    <w:lvl w:ilvl="5" w:tplc="041B001B" w:tentative="1">
      <w:start w:val="1"/>
      <w:numFmt w:val="lowerRoman"/>
      <w:lvlText w:val="%6."/>
      <w:lvlJc w:val="right"/>
      <w:pPr>
        <w:ind w:left="4037" w:hanging="180"/>
      </w:pPr>
    </w:lvl>
    <w:lvl w:ilvl="6" w:tplc="041B000F" w:tentative="1">
      <w:start w:val="1"/>
      <w:numFmt w:val="decimal"/>
      <w:lvlText w:val="%7."/>
      <w:lvlJc w:val="left"/>
      <w:pPr>
        <w:ind w:left="4757" w:hanging="360"/>
      </w:pPr>
    </w:lvl>
    <w:lvl w:ilvl="7" w:tplc="041B0019" w:tentative="1">
      <w:start w:val="1"/>
      <w:numFmt w:val="lowerLetter"/>
      <w:lvlText w:val="%8."/>
      <w:lvlJc w:val="left"/>
      <w:pPr>
        <w:ind w:left="5477" w:hanging="360"/>
      </w:pPr>
    </w:lvl>
    <w:lvl w:ilvl="8" w:tplc="041B001B" w:tentative="1">
      <w:start w:val="1"/>
      <w:numFmt w:val="lowerRoman"/>
      <w:lvlText w:val="%9."/>
      <w:lvlJc w:val="right"/>
      <w:pPr>
        <w:ind w:left="6197" w:hanging="180"/>
      </w:pPr>
    </w:lvl>
  </w:abstractNum>
  <w:abstractNum w:abstractNumId="22" w15:restartNumberingAfterBreak="0">
    <w:nsid w:val="4B831D09"/>
    <w:multiLevelType w:val="hybridMultilevel"/>
    <w:tmpl w:val="37DC5EDA"/>
    <w:lvl w:ilvl="0" w:tplc="ECD2E040">
      <w:start w:val="1"/>
      <w:numFmt w:val="low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 w15:restartNumberingAfterBreak="0">
    <w:nsid w:val="4C331071"/>
    <w:multiLevelType w:val="hybridMultilevel"/>
    <w:tmpl w:val="FC923376"/>
    <w:lvl w:ilvl="0" w:tplc="8C4CE8EE">
      <w:start w:val="2"/>
      <w:numFmt w:val="bullet"/>
      <w:lvlText w:val="-"/>
      <w:lvlJc w:val="left"/>
      <w:pPr>
        <w:ind w:left="1287" w:hanging="360"/>
      </w:pPr>
      <w:rPr>
        <w:rFonts w:ascii="Arial" w:eastAsia="Times New Roman" w:hAnsi="Arial" w:cs="Aria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8C4CE8EE">
      <w:start w:val="2"/>
      <w:numFmt w:val="bullet"/>
      <w:lvlText w:val="-"/>
      <w:lvlJc w:val="left"/>
      <w:pPr>
        <w:ind w:left="3447" w:hanging="360"/>
      </w:pPr>
      <w:rPr>
        <w:rFonts w:ascii="Arial" w:eastAsia="Times New Roman" w:hAnsi="Arial" w:cs="Aria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4" w15:restartNumberingAfterBreak="0">
    <w:nsid w:val="53105B8E"/>
    <w:multiLevelType w:val="hybridMultilevel"/>
    <w:tmpl w:val="9F2CD87C"/>
    <w:lvl w:ilvl="0" w:tplc="40B61A9E">
      <w:start w:val="6"/>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3B34D4F"/>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9CB16D7"/>
    <w:multiLevelType w:val="hybridMultilevel"/>
    <w:tmpl w:val="AAD2D542"/>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7" w15:restartNumberingAfterBreak="0">
    <w:nsid w:val="5CA31C84"/>
    <w:multiLevelType w:val="hybridMultilevel"/>
    <w:tmpl w:val="254E86D8"/>
    <w:lvl w:ilvl="0" w:tplc="7846A764">
      <w:start w:val="3"/>
      <w:numFmt w:val="lowerLetter"/>
      <w:lvlText w:val="%1)"/>
      <w:lvlJc w:val="left"/>
      <w:pPr>
        <w:ind w:left="390" w:hanging="360"/>
      </w:pPr>
      <w:rPr>
        <w:rFonts w:hint="default"/>
      </w:rPr>
    </w:lvl>
    <w:lvl w:ilvl="1" w:tplc="041B0019" w:tentative="1">
      <w:start w:val="1"/>
      <w:numFmt w:val="lowerLetter"/>
      <w:lvlText w:val="%2."/>
      <w:lvlJc w:val="left"/>
      <w:pPr>
        <w:ind w:left="1110" w:hanging="360"/>
      </w:pPr>
    </w:lvl>
    <w:lvl w:ilvl="2" w:tplc="041B001B" w:tentative="1">
      <w:start w:val="1"/>
      <w:numFmt w:val="lowerRoman"/>
      <w:lvlText w:val="%3."/>
      <w:lvlJc w:val="right"/>
      <w:pPr>
        <w:ind w:left="1830" w:hanging="180"/>
      </w:pPr>
    </w:lvl>
    <w:lvl w:ilvl="3" w:tplc="041B000F" w:tentative="1">
      <w:start w:val="1"/>
      <w:numFmt w:val="decimal"/>
      <w:lvlText w:val="%4."/>
      <w:lvlJc w:val="left"/>
      <w:pPr>
        <w:ind w:left="2550" w:hanging="360"/>
      </w:pPr>
    </w:lvl>
    <w:lvl w:ilvl="4" w:tplc="041B0019" w:tentative="1">
      <w:start w:val="1"/>
      <w:numFmt w:val="lowerLetter"/>
      <w:lvlText w:val="%5."/>
      <w:lvlJc w:val="left"/>
      <w:pPr>
        <w:ind w:left="3270" w:hanging="360"/>
      </w:pPr>
    </w:lvl>
    <w:lvl w:ilvl="5" w:tplc="041B001B" w:tentative="1">
      <w:start w:val="1"/>
      <w:numFmt w:val="lowerRoman"/>
      <w:lvlText w:val="%6."/>
      <w:lvlJc w:val="right"/>
      <w:pPr>
        <w:ind w:left="3990" w:hanging="180"/>
      </w:pPr>
    </w:lvl>
    <w:lvl w:ilvl="6" w:tplc="041B000F" w:tentative="1">
      <w:start w:val="1"/>
      <w:numFmt w:val="decimal"/>
      <w:lvlText w:val="%7."/>
      <w:lvlJc w:val="left"/>
      <w:pPr>
        <w:ind w:left="4710" w:hanging="360"/>
      </w:pPr>
    </w:lvl>
    <w:lvl w:ilvl="7" w:tplc="041B0019" w:tentative="1">
      <w:start w:val="1"/>
      <w:numFmt w:val="lowerLetter"/>
      <w:lvlText w:val="%8."/>
      <w:lvlJc w:val="left"/>
      <w:pPr>
        <w:ind w:left="5430" w:hanging="360"/>
      </w:pPr>
    </w:lvl>
    <w:lvl w:ilvl="8" w:tplc="041B001B" w:tentative="1">
      <w:start w:val="1"/>
      <w:numFmt w:val="lowerRoman"/>
      <w:lvlText w:val="%9."/>
      <w:lvlJc w:val="right"/>
      <w:pPr>
        <w:ind w:left="6150" w:hanging="180"/>
      </w:pPr>
    </w:lvl>
  </w:abstractNum>
  <w:abstractNum w:abstractNumId="28" w15:restartNumberingAfterBreak="0">
    <w:nsid w:val="5D79317D"/>
    <w:multiLevelType w:val="hybridMultilevel"/>
    <w:tmpl w:val="6CA688E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9" w15:restartNumberingAfterBreak="0">
    <w:nsid w:val="5DDF7DF7"/>
    <w:multiLevelType w:val="hybridMultilevel"/>
    <w:tmpl w:val="654210D6"/>
    <w:lvl w:ilvl="0" w:tplc="041B000F">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0" w15:restartNumberingAfterBreak="0">
    <w:nsid w:val="637E2436"/>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6F20C1E"/>
    <w:multiLevelType w:val="hybridMultilevel"/>
    <w:tmpl w:val="98905C0A"/>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70917EA"/>
    <w:multiLevelType w:val="hybridMultilevel"/>
    <w:tmpl w:val="C3063114"/>
    <w:lvl w:ilvl="0" w:tplc="041B000F">
      <w:start w:val="1"/>
      <w:numFmt w:val="decimal"/>
      <w:lvlText w:val="%1."/>
      <w:lvlJc w:val="left"/>
      <w:pPr>
        <w:tabs>
          <w:tab w:val="num" w:pos="643"/>
        </w:tabs>
        <w:ind w:left="643" w:hanging="360"/>
      </w:pPr>
      <w:rPr>
        <w:rFonts w:hint="default"/>
      </w:rPr>
    </w:lvl>
    <w:lvl w:ilvl="1" w:tplc="041B0017">
      <w:start w:val="1"/>
      <w:numFmt w:val="lowerLetter"/>
      <w:lvlText w:val="%2)"/>
      <w:lvlJc w:val="left"/>
      <w:pPr>
        <w:tabs>
          <w:tab w:val="num" w:pos="1363"/>
        </w:tabs>
        <w:ind w:left="1363" w:hanging="360"/>
      </w:pPr>
      <w:rPr>
        <w:rFonts w:hint="default"/>
      </w:rPr>
    </w:lvl>
    <w:lvl w:ilvl="2" w:tplc="28F6B60E">
      <w:start w:val="1"/>
      <w:numFmt w:val="decimal"/>
      <w:lvlText w:val="%3."/>
      <w:lvlJc w:val="left"/>
      <w:pPr>
        <w:ind w:left="2263" w:hanging="360"/>
      </w:pPr>
      <w:rPr>
        <w:rFonts w:hint="default"/>
      </w:rPr>
    </w:lvl>
    <w:lvl w:ilvl="3" w:tplc="BC024664">
      <w:numFmt w:val="bullet"/>
      <w:lvlText w:val="-"/>
      <w:lvlJc w:val="left"/>
      <w:pPr>
        <w:ind w:left="2803" w:hanging="360"/>
      </w:pPr>
      <w:rPr>
        <w:rFonts w:ascii="Arial" w:eastAsiaTheme="minorHAnsi" w:hAnsi="Arial" w:cs="Arial" w:hint="default"/>
      </w:rPr>
    </w:lvl>
    <w:lvl w:ilvl="4" w:tplc="97AE9624">
      <w:start w:val="46"/>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3" w15:restartNumberingAfterBreak="0">
    <w:nsid w:val="67A86B3B"/>
    <w:multiLevelType w:val="hybridMultilevel"/>
    <w:tmpl w:val="43265B34"/>
    <w:lvl w:ilvl="0" w:tplc="08CCD4C0">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4" w15:restartNumberingAfterBreak="0">
    <w:nsid w:val="685263A2"/>
    <w:multiLevelType w:val="hybridMultilevel"/>
    <w:tmpl w:val="F4DC6716"/>
    <w:lvl w:ilvl="0" w:tplc="12FA66E4">
      <w:start w:val="9"/>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C1E00EC"/>
    <w:multiLevelType w:val="hybridMultilevel"/>
    <w:tmpl w:val="02106F22"/>
    <w:lvl w:ilvl="0" w:tplc="041B0017">
      <w:start w:val="1"/>
      <w:numFmt w:val="lowerLetter"/>
      <w:lvlText w:val="%1)"/>
      <w:lvlJc w:val="left"/>
      <w:pPr>
        <w:ind w:left="1800" w:hanging="360"/>
      </w:pPr>
      <w:rPr>
        <w:rFonts w:hint="default"/>
      </w:r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36" w15:restartNumberingAfterBreak="0">
    <w:nsid w:val="7036246A"/>
    <w:multiLevelType w:val="hybridMultilevel"/>
    <w:tmpl w:val="69A8A8B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Times New Roman"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Times New Roman"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4628F1"/>
    <w:multiLevelType w:val="hybridMultilevel"/>
    <w:tmpl w:val="AB961D10"/>
    <w:lvl w:ilvl="0" w:tplc="BA20E73E">
      <w:start w:val="1"/>
      <w:numFmt w:val="lowerLetter"/>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745C425E"/>
    <w:multiLevelType w:val="hybridMultilevel"/>
    <w:tmpl w:val="8B5E00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4F4099F"/>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B3730AC"/>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C8D0A42"/>
    <w:multiLevelType w:val="hybridMultilevel"/>
    <w:tmpl w:val="BE0ED5E6"/>
    <w:lvl w:ilvl="0" w:tplc="CE9A893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7EA71604"/>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9"/>
  </w:num>
  <w:num w:numId="2">
    <w:abstractNumId w:val="5"/>
  </w:num>
  <w:num w:numId="3">
    <w:abstractNumId w:val="15"/>
  </w:num>
  <w:num w:numId="4">
    <w:abstractNumId w:val="9"/>
  </w:num>
  <w:num w:numId="5">
    <w:abstractNumId w:val="3"/>
  </w:num>
  <w:num w:numId="6">
    <w:abstractNumId w:val="14"/>
  </w:num>
  <w:num w:numId="7">
    <w:abstractNumId w:val="4"/>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1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3"/>
  </w:num>
  <w:num w:numId="15">
    <w:abstractNumId w:val="20"/>
  </w:num>
  <w:num w:numId="16">
    <w:abstractNumId w:val="22"/>
  </w:num>
  <w:num w:numId="17">
    <w:abstractNumId w:val="37"/>
  </w:num>
  <w:num w:numId="18">
    <w:abstractNumId w:val="12"/>
  </w:num>
  <w:num w:numId="19">
    <w:abstractNumId w:val="40"/>
  </w:num>
  <w:num w:numId="20">
    <w:abstractNumId w:val="30"/>
  </w:num>
  <w:num w:numId="21">
    <w:abstractNumId w:val="2"/>
  </w:num>
  <w:num w:numId="22">
    <w:abstractNumId w:val="31"/>
  </w:num>
  <w:num w:numId="23">
    <w:abstractNumId w:val="1"/>
  </w:num>
  <w:num w:numId="24">
    <w:abstractNumId w:val="17"/>
  </w:num>
  <w:num w:numId="25">
    <w:abstractNumId w:val="42"/>
  </w:num>
  <w:num w:numId="26">
    <w:abstractNumId w:val="10"/>
  </w:num>
  <w:num w:numId="27">
    <w:abstractNumId w:val="41"/>
  </w:num>
  <w:num w:numId="28">
    <w:abstractNumId w:val="26"/>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39"/>
  </w:num>
  <w:num w:numId="33">
    <w:abstractNumId w:val="25"/>
  </w:num>
  <w:num w:numId="34">
    <w:abstractNumId w:val="7"/>
  </w:num>
  <w:num w:numId="35">
    <w:abstractNumId w:val="16"/>
  </w:num>
  <w:num w:numId="36">
    <w:abstractNumId w:val="24"/>
  </w:num>
  <w:num w:numId="37">
    <w:abstractNumId w:val="34"/>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8"/>
  </w:num>
  <w:num w:numId="44">
    <w:abstractNumId w:val="29"/>
  </w:num>
  <w:num w:numId="45">
    <w:abstractNumId w:val="13"/>
  </w:num>
  <w:num w:numId="46">
    <w:abstractNumId w:val="36"/>
  </w:num>
  <w:num w:numId="47">
    <w:abstractNumId w:val="28"/>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1" w:cryptProviderType="rsaAES" w:cryptAlgorithmClass="hash" w:cryptAlgorithmType="typeAny" w:cryptAlgorithmSid="14" w:cryptSpinCount="100000" w:hash="W1jc2e8d+yVXOhNDfqttjd9cXIx3SXDatRQG+N0fdRaU4m7JGiaBzjYxb06wqU3aUzyoR5TvJvQVTAdiGD+Zaw==" w:salt="cmm6HFd938Cnr5BXJk4tu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CC2"/>
    <w:rsid w:val="00003B88"/>
    <w:rsid w:val="00012836"/>
    <w:rsid w:val="00014946"/>
    <w:rsid w:val="000161E2"/>
    <w:rsid w:val="0001629B"/>
    <w:rsid w:val="00016D2D"/>
    <w:rsid w:val="00021F28"/>
    <w:rsid w:val="000238D9"/>
    <w:rsid w:val="00024FF2"/>
    <w:rsid w:val="00031A84"/>
    <w:rsid w:val="00032874"/>
    <w:rsid w:val="000343D2"/>
    <w:rsid w:val="00037327"/>
    <w:rsid w:val="00046629"/>
    <w:rsid w:val="0004749B"/>
    <w:rsid w:val="0005342D"/>
    <w:rsid w:val="000535EF"/>
    <w:rsid w:val="000662B7"/>
    <w:rsid w:val="0007151D"/>
    <w:rsid w:val="00075FD1"/>
    <w:rsid w:val="00083892"/>
    <w:rsid w:val="00084494"/>
    <w:rsid w:val="000901F3"/>
    <w:rsid w:val="00097FA2"/>
    <w:rsid w:val="000A036F"/>
    <w:rsid w:val="000A3B24"/>
    <w:rsid w:val="000A47CE"/>
    <w:rsid w:val="000A54C1"/>
    <w:rsid w:val="000A75BD"/>
    <w:rsid w:val="000A7617"/>
    <w:rsid w:val="000B2626"/>
    <w:rsid w:val="000B53BA"/>
    <w:rsid w:val="000B7E4F"/>
    <w:rsid w:val="000C0241"/>
    <w:rsid w:val="000D39E4"/>
    <w:rsid w:val="000D4FD4"/>
    <w:rsid w:val="000E13AF"/>
    <w:rsid w:val="000F5CD1"/>
    <w:rsid w:val="0010499D"/>
    <w:rsid w:val="0011003D"/>
    <w:rsid w:val="00115939"/>
    <w:rsid w:val="001173D2"/>
    <w:rsid w:val="00124ECD"/>
    <w:rsid w:val="00125584"/>
    <w:rsid w:val="00125BF4"/>
    <w:rsid w:val="0013033D"/>
    <w:rsid w:val="00131C7A"/>
    <w:rsid w:val="00132CC8"/>
    <w:rsid w:val="00133FB5"/>
    <w:rsid w:val="001404F4"/>
    <w:rsid w:val="00140E2B"/>
    <w:rsid w:val="00151929"/>
    <w:rsid w:val="00152966"/>
    <w:rsid w:val="0015739F"/>
    <w:rsid w:val="00170D56"/>
    <w:rsid w:val="0018237F"/>
    <w:rsid w:val="00185B19"/>
    <w:rsid w:val="00196FDB"/>
    <w:rsid w:val="001A0A6F"/>
    <w:rsid w:val="001A637A"/>
    <w:rsid w:val="001B46C6"/>
    <w:rsid w:val="001B5C77"/>
    <w:rsid w:val="001B6D8A"/>
    <w:rsid w:val="001D1DAA"/>
    <w:rsid w:val="001D2AFF"/>
    <w:rsid w:val="001D53A7"/>
    <w:rsid w:val="001D5E1B"/>
    <w:rsid w:val="001D6AF5"/>
    <w:rsid w:val="001D737F"/>
    <w:rsid w:val="001E3375"/>
    <w:rsid w:val="001E5BFD"/>
    <w:rsid w:val="001E6B6D"/>
    <w:rsid w:val="001F1252"/>
    <w:rsid w:val="00203B1A"/>
    <w:rsid w:val="00204327"/>
    <w:rsid w:val="00216E62"/>
    <w:rsid w:val="002204AC"/>
    <w:rsid w:val="00250AD9"/>
    <w:rsid w:val="00250FCC"/>
    <w:rsid w:val="00265784"/>
    <w:rsid w:val="002658C5"/>
    <w:rsid w:val="00265F95"/>
    <w:rsid w:val="00266850"/>
    <w:rsid w:val="0027063E"/>
    <w:rsid w:val="00277063"/>
    <w:rsid w:val="00287A3A"/>
    <w:rsid w:val="002A6012"/>
    <w:rsid w:val="002A7DF4"/>
    <w:rsid w:val="002B4050"/>
    <w:rsid w:val="002C4F24"/>
    <w:rsid w:val="002C57C8"/>
    <w:rsid w:val="002C69B9"/>
    <w:rsid w:val="002C6F50"/>
    <w:rsid w:val="002E2320"/>
    <w:rsid w:val="002F3032"/>
    <w:rsid w:val="00301BB6"/>
    <w:rsid w:val="0030568F"/>
    <w:rsid w:val="003124F5"/>
    <w:rsid w:val="0031365E"/>
    <w:rsid w:val="00317B1B"/>
    <w:rsid w:val="003258EE"/>
    <w:rsid w:val="0032606F"/>
    <w:rsid w:val="00326E72"/>
    <w:rsid w:val="003331D6"/>
    <w:rsid w:val="0033712E"/>
    <w:rsid w:val="00337C60"/>
    <w:rsid w:val="00345D97"/>
    <w:rsid w:val="00346F15"/>
    <w:rsid w:val="00351B1A"/>
    <w:rsid w:val="00354106"/>
    <w:rsid w:val="0035699D"/>
    <w:rsid w:val="003625F1"/>
    <w:rsid w:val="00362B04"/>
    <w:rsid w:val="00371EBF"/>
    <w:rsid w:val="0037215D"/>
    <w:rsid w:val="003779B7"/>
    <w:rsid w:val="0038609B"/>
    <w:rsid w:val="00393D06"/>
    <w:rsid w:val="003956FD"/>
    <w:rsid w:val="003A5B0D"/>
    <w:rsid w:val="003F0FF1"/>
    <w:rsid w:val="003F36DD"/>
    <w:rsid w:val="00403827"/>
    <w:rsid w:val="00404154"/>
    <w:rsid w:val="00410C88"/>
    <w:rsid w:val="00411296"/>
    <w:rsid w:val="0041485D"/>
    <w:rsid w:val="00415815"/>
    <w:rsid w:val="00422481"/>
    <w:rsid w:val="00423F54"/>
    <w:rsid w:val="0042644B"/>
    <w:rsid w:val="00430EE6"/>
    <w:rsid w:val="00433577"/>
    <w:rsid w:val="00435981"/>
    <w:rsid w:val="00435A2D"/>
    <w:rsid w:val="004504C9"/>
    <w:rsid w:val="00450B49"/>
    <w:rsid w:val="00461EB8"/>
    <w:rsid w:val="00464D1F"/>
    <w:rsid w:val="00464DED"/>
    <w:rsid w:val="00467A0B"/>
    <w:rsid w:val="0047283E"/>
    <w:rsid w:val="00473B4B"/>
    <w:rsid w:val="0047597A"/>
    <w:rsid w:val="00477D4B"/>
    <w:rsid w:val="00482C23"/>
    <w:rsid w:val="0048417B"/>
    <w:rsid w:val="00493502"/>
    <w:rsid w:val="004965F6"/>
    <w:rsid w:val="004A26E3"/>
    <w:rsid w:val="004B0BCF"/>
    <w:rsid w:val="004C276C"/>
    <w:rsid w:val="004C3359"/>
    <w:rsid w:val="004D0CE3"/>
    <w:rsid w:val="004D626E"/>
    <w:rsid w:val="004D7885"/>
    <w:rsid w:val="004E6A12"/>
    <w:rsid w:val="004F45A7"/>
    <w:rsid w:val="005003A9"/>
    <w:rsid w:val="005011A0"/>
    <w:rsid w:val="00502549"/>
    <w:rsid w:val="00505EF9"/>
    <w:rsid w:val="00511B2C"/>
    <w:rsid w:val="00520452"/>
    <w:rsid w:val="00522207"/>
    <w:rsid w:val="00537455"/>
    <w:rsid w:val="0055182E"/>
    <w:rsid w:val="00553A71"/>
    <w:rsid w:val="00562F23"/>
    <w:rsid w:val="00565D63"/>
    <w:rsid w:val="00573828"/>
    <w:rsid w:val="0057389A"/>
    <w:rsid w:val="005740E7"/>
    <w:rsid w:val="00585287"/>
    <w:rsid w:val="005872F9"/>
    <w:rsid w:val="005908F1"/>
    <w:rsid w:val="00593134"/>
    <w:rsid w:val="0059334D"/>
    <w:rsid w:val="0059506E"/>
    <w:rsid w:val="00596293"/>
    <w:rsid w:val="005A18F5"/>
    <w:rsid w:val="005A1AF3"/>
    <w:rsid w:val="005A1CA1"/>
    <w:rsid w:val="005A77BD"/>
    <w:rsid w:val="005B0EC8"/>
    <w:rsid w:val="005B337C"/>
    <w:rsid w:val="005B3E4E"/>
    <w:rsid w:val="005B5A40"/>
    <w:rsid w:val="005C6655"/>
    <w:rsid w:val="005D14D6"/>
    <w:rsid w:val="005D20F2"/>
    <w:rsid w:val="005E04B1"/>
    <w:rsid w:val="005E4322"/>
    <w:rsid w:val="005E5CA0"/>
    <w:rsid w:val="005F5A66"/>
    <w:rsid w:val="005F72E7"/>
    <w:rsid w:val="00600414"/>
    <w:rsid w:val="006012F9"/>
    <w:rsid w:val="0060322D"/>
    <w:rsid w:val="00603445"/>
    <w:rsid w:val="00604E86"/>
    <w:rsid w:val="00606BB8"/>
    <w:rsid w:val="00613BCD"/>
    <w:rsid w:val="00614A3E"/>
    <w:rsid w:val="0061580A"/>
    <w:rsid w:val="00621ABF"/>
    <w:rsid w:val="00624348"/>
    <w:rsid w:val="00632E58"/>
    <w:rsid w:val="00636DD1"/>
    <w:rsid w:val="00646876"/>
    <w:rsid w:val="006470EC"/>
    <w:rsid w:val="00655E7F"/>
    <w:rsid w:val="0066231D"/>
    <w:rsid w:val="00664D9D"/>
    <w:rsid w:val="006709EA"/>
    <w:rsid w:val="006746B4"/>
    <w:rsid w:val="00676829"/>
    <w:rsid w:val="00677D41"/>
    <w:rsid w:val="00682019"/>
    <w:rsid w:val="00683DFC"/>
    <w:rsid w:val="006854EF"/>
    <w:rsid w:val="00690617"/>
    <w:rsid w:val="00694B92"/>
    <w:rsid w:val="00696D9E"/>
    <w:rsid w:val="00697631"/>
    <w:rsid w:val="006B5A31"/>
    <w:rsid w:val="006B6546"/>
    <w:rsid w:val="006B69E1"/>
    <w:rsid w:val="006C1EFD"/>
    <w:rsid w:val="006C56BE"/>
    <w:rsid w:val="006D4876"/>
    <w:rsid w:val="006D7995"/>
    <w:rsid w:val="006E0591"/>
    <w:rsid w:val="006E74BC"/>
    <w:rsid w:val="006F0DDA"/>
    <w:rsid w:val="006F0EDB"/>
    <w:rsid w:val="00701C0B"/>
    <w:rsid w:val="00717FF1"/>
    <w:rsid w:val="00731D51"/>
    <w:rsid w:val="00741F42"/>
    <w:rsid w:val="00750E94"/>
    <w:rsid w:val="0075300D"/>
    <w:rsid w:val="0075451A"/>
    <w:rsid w:val="00757DEF"/>
    <w:rsid w:val="00761D10"/>
    <w:rsid w:val="00762DEE"/>
    <w:rsid w:val="0076402A"/>
    <w:rsid w:val="0077686E"/>
    <w:rsid w:val="007803FF"/>
    <w:rsid w:val="00784180"/>
    <w:rsid w:val="007918D5"/>
    <w:rsid w:val="0079699D"/>
    <w:rsid w:val="007A191B"/>
    <w:rsid w:val="007A6AAD"/>
    <w:rsid w:val="007B45DE"/>
    <w:rsid w:val="007B535C"/>
    <w:rsid w:val="007B77B8"/>
    <w:rsid w:val="007C1B4C"/>
    <w:rsid w:val="007C2013"/>
    <w:rsid w:val="007C663B"/>
    <w:rsid w:val="007D4D7C"/>
    <w:rsid w:val="007D58E0"/>
    <w:rsid w:val="007D64A7"/>
    <w:rsid w:val="007D6DF2"/>
    <w:rsid w:val="007E26BE"/>
    <w:rsid w:val="007E3555"/>
    <w:rsid w:val="007F1FA0"/>
    <w:rsid w:val="007F3335"/>
    <w:rsid w:val="007F4D81"/>
    <w:rsid w:val="008024F4"/>
    <w:rsid w:val="00815002"/>
    <w:rsid w:val="008224E1"/>
    <w:rsid w:val="00824A74"/>
    <w:rsid w:val="0082520F"/>
    <w:rsid w:val="00826FB1"/>
    <w:rsid w:val="00832D0F"/>
    <w:rsid w:val="00834DE1"/>
    <w:rsid w:val="00835A7F"/>
    <w:rsid w:val="00837C86"/>
    <w:rsid w:val="00843274"/>
    <w:rsid w:val="00850978"/>
    <w:rsid w:val="00855417"/>
    <w:rsid w:val="0085595F"/>
    <w:rsid w:val="00855D02"/>
    <w:rsid w:val="00857220"/>
    <w:rsid w:val="0086079C"/>
    <w:rsid w:val="00864BEB"/>
    <w:rsid w:val="008759B3"/>
    <w:rsid w:val="00880AF7"/>
    <w:rsid w:val="008873A9"/>
    <w:rsid w:val="00891292"/>
    <w:rsid w:val="00891A4B"/>
    <w:rsid w:val="00896868"/>
    <w:rsid w:val="00897DBF"/>
    <w:rsid w:val="008A2CB2"/>
    <w:rsid w:val="008C0591"/>
    <w:rsid w:val="008C53FE"/>
    <w:rsid w:val="008D0574"/>
    <w:rsid w:val="008E32B4"/>
    <w:rsid w:val="008E6DC7"/>
    <w:rsid w:val="008E6FA8"/>
    <w:rsid w:val="008E78B7"/>
    <w:rsid w:val="008F028C"/>
    <w:rsid w:val="008F6ECB"/>
    <w:rsid w:val="00924E12"/>
    <w:rsid w:val="00924F11"/>
    <w:rsid w:val="00941826"/>
    <w:rsid w:val="00951885"/>
    <w:rsid w:val="00961FA7"/>
    <w:rsid w:val="00962F72"/>
    <w:rsid w:val="0096443F"/>
    <w:rsid w:val="009754DA"/>
    <w:rsid w:val="0097758C"/>
    <w:rsid w:val="009826FF"/>
    <w:rsid w:val="00984DBF"/>
    <w:rsid w:val="00994BA1"/>
    <w:rsid w:val="009A2892"/>
    <w:rsid w:val="009A3D6A"/>
    <w:rsid w:val="009A40F6"/>
    <w:rsid w:val="009A4D5C"/>
    <w:rsid w:val="009A653B"/>
    <w:rsid w:val="009A672E"/>
    <w:rsid w:val="009A7969"/>
    <w:rsid w:val="009B5713"/>
    <w:rsid w:val="009B7CA9"/>
    <w:rsid w:val="009C2B0E"/>
    <w:rsid w:val="009C43F8"/>
    <w:rsid w:val="009C6D5F"/>
    <w:rsid w:val="009D1410"/>
    <w:rsid w:val="009D66B9"/>
    <w:rsid w:val="009E04EA"/>
    <w:rsid w:val="009E17A4"/>
    <w:rsid w:val="009E1F77"/>
    <w:rsid w:val="009E22E9"/>
    <w:rsid w:val="009E27CB"/>
    <w:rsid w:val="009F3C48"/>
    <w:rsid w:val="00A02414"/>
    <w:rsid w:val="00A16D44"/>
    <w:rsid w:val="00A22097"/>
    <w:rsid w:val="00A23642"/>
    <w:rsid w:val="00A33F74"/>
    <w:rsid w:val="00A41592"/>
    <w:rsid w:val="00A460E6"/>
    <w:rsid w:val="00A46D66"/>
    <w:rsid w:val="00A52043"/>
    <w:rsid w:val="00A64603"/>
    <w:rsid w:val="00A675BB"/>
    <w:rsid w:val="00A7107B"/>
    <w:rsid w:val="00A71A72"/>
    <w:rsid w:val="00A76F0D"/>
    <w:rsid w:val="00A8502B"/>
    <w:rsid w:val="00AA41D8"/>
    <w:rsid w:val="00AA5167"/>
    <w:rsid w:val="00AA6031"/>
    <w:rsid w:val="00AB1CE0"/>
    <w:rsid w:val="00AB2C06"/>
    <w:rsid w:val="00AB4D66"/>
    <w:rsid w:val="00AB6D86"/>
    <w:rsid w:val="00AC055D"/>
    <w:rsid w:val="00AC2698"/>
    <w:rsid w:val="00AC2D1C"/>
    <w:rsid w:val="00AC47E6"/>
    <w:rsid w:val="00AC6C48"/>
    <w:rsid w:val="00AD2A38"/>
    <w:rsid w:val="00AD6448"/>
    <w:rsid w:val="00AE6664"/>
    <w:rsid w:val="00AF679C"/>
    <w:rsid w:val="00AF6CC9"/>
    <w:rsid w:val="00AF6F0F"/>
    <w:rsid w:val="00B01B62"/>
    <w:rsid w:val="00B024CE"/>
    <w:rsid w:val="00B030A4"/>
    <w:rsid w:val="00B048D3"/>
    <w:rsid w:val="00B13FC6"/>
    <w:rsid w:val="00B2144A"/>
    <w:rsid w:val="00B24130"/>
    <w:rsid w:val="00B241ED"/>
    <w:rsid w:val="00B24247"/>
    <w:rsid w:val="00B24DF6"/>
    <w:rsid w:val="00B26F52"/>
    <w:rsid w:val="00B351DC"/>
    <w:rsid w:val="00B40B5F"/>
    <w:rsid w:val="00B43F2A"/>
    <w:rsid w:val="00B44054"/>
    <w:rsid w:val="00B51F2E"/>
    <w:rsid w:val="00B62204"/>
    <w:rsid w:val="00B6512E"/>
    <w:rsid w:val="00B66D50"/>
    <w:rsid w:val="00B717B1"/>
    <w:rsid w:val="00B71B35"/>
    <w:rsid w:val="00B8182B"/>
    <w:rsid w:val="00B85033"/>
    <w:rsid w:val="00B85EAC"/>
    <w:rsid w:val="00B86927"/>
    <w:rsid w:val="00B87747"/>
    <w:rsid w:val="00B93897"/>
    <w:rsid w:val="00BA04F8"/>
    <w:rsid w:val="00BA3439"/>
    <w:rsid w:val="00BB0B09"/>
    <w:rsid w:val="00BB1C58"/>
    <w:rsid w:val="00BB7BA7"/>
    <w:rsid w:val="00BD35D0"/>
    <w:rsid w:val="00BD5F8E"/>
    <w:rsid w:val="00BD62FC"/>
    <w:rsid w:val="00BE1704"/>
    <w:rsid w:val="00BE322E"/>
    <w:rsid w:val="00BE6259"/>
    <w:rsid w:val="00BF36BB"/>
    <w:rsid w:val="00BF7453"/>
    <w:rsid w:val="00C10AAB"/>
    <w:rsid w:val="00C11271"/>
    <w:rsid w:val="00C14230"/>
    <w:rsid w:val="00C16038"/>
    <w:rsid w:val="00C16AA2"/>
    <w:rsid w:val="00C25026"/>
    <w:rsid w:val="00C27990"/>
    <w:rsid w:val="00C305B8"/>
    <w:rsid w:val="00C309A9"/>
    <w:rsid w:val="00C309AF"/>
    <w:rsid w:val="00C34535"/>
    <w:rsid w:val="00C414C3"/>
    <w:rsid w:val="00C60CC2"/>
    <w:rsid w:val="00C61333"/>
    <w:rsid w:val="00C66BAC"/>
    <w:rsid w:val="00C700D8"/>
    <w:rsid w:val="00C732F6"/>
    <w:rsid w:val="00C7642D"/>
    <w:rsid w:val="00C774AA"/>
    <w:rsid w:val="00C77DBC"/>
    <w:rsid w:val="00C82BD9"/>
    <w:rsid w:val="00C82C87"/>
    <w:rsid w:val="00C91CE5"/>
    <w:rsid w:val="00C91D2B"/>
    <w:rsid w:val="00C97EED"/>
    <w:rsid w:val="00CA18E6"/>
    <w:rsid w:val="00CA3AE0"/>
    <w:rsid w:val="00CA4335"/>
    <w:rsid w:val="00CA7A45"/>
    <w:rsid w:val="00CA7BE3"/>
    <w:rsid w:val="00CB34E1"/>
    <w:rsid w:val="00CB5AA1"/>
    <w:rsid w:val="00CB613A"/>
    <w:rsid w:val="00CB6699"/>
    <w:rsid w:val="00CC0CCB"/>
    <w:rsid w:val="00CC2141"/>
    <w:rsid w:val="00CD2A47"/>
    <w:rsid w:val="00CD36D1"/>
    <w:rsid w:val="00D01853"/>
    <w:rsid w:val="00D045F3"/>
    <w:rsid w:val="00D06A72"/>
    <w:rsid w:val="00D15DBF"/>
    <w:rsid w:val="00D24D25"/>
    <w:rsid w:val="00D272DA"/>
    <w:rsid w:val="00D32194"/>
    <w:rsid w:val="00D41BFA"/>
    <w:rsid w:val="00D44AD8"/>
    <w:rsid w:val="00D450BE"/>
    <w:rsid w:val="00D51F9C"/>
    <w:rsid w:val="00D6189F"/>
    <w:rsid w:val="00D618A0"/>
    <w:rsid w:val="00D71B3C"/>
    <w:rsid w:val="00D81AA6"/>
    <w:rsid w:val="00D82A94"/>
    <w:rsid w:val="00D96A99"/>
    <w:rsid w:val="00DA0895"/>
    <w:rsid w:val="00DA1BC2"/>
    <w:rsid w:val="00DA628F"/>
    <w:rsid w:val="00DB2CC1"/>
    <w:rsid w:val="00DC3BE0"/>
    <w:rsid w:val="00DD112F"/>
    <w:rsid w:val="00DD1E46"/>
    <w:rsid w:val="00DD24E0"/>
    <w:rsid w:val="00DD5557"/>
    <w:rsid w:val="00DD7301"/>
    <w:rsid w:val="00DE1ABA"/>
    <w:rsid w:val="00DE1C58"/>
    <w:rsid w:val="00DF6775"/>
    <w:rsid w:val="00E00CBD"/>
    <w:rsid w:val="00E07DE6"/>
    <w:rsid w:val="00E12671"/>
    <w:rsid w:val="00E13F33"/>
    <w:rsid w:val="00E23A9B"/>
    <w:rsid w:val="00E251F6"/>
    <w:rsid w:val="00E33949"/>
    <w:rsid w:val="00E37021"/>
    <w:rsid w:val="00E4619C"/>
    <w:rsid w:val="00E611FA"/>
    <w:rsid w:val="00E622AD"/>
    <w:rsid w:val="00E732EF"/>
    <w:rsid w:val="00E758CD"/>
    <w:rsid w:val="00E76448"/>
    <w:rsid w:val="00E76FB7"/>
    <w:rsid w:val="00E81D22"/>
    <w:rsid w:val="00E85055"/>
    <w:rsid w:val="00E86ECD"/>
    <w:rsid w:val="00E87471"/>
    <w:rsid w:val="00E87DDA"/>
    <w:rsid w:val="00E902F2"/>
    <w:rsid w:val="00E94DBE"/>
    <w:rsid w:val="00E9710F"/>
    <w:rsid w:val="00EA44EA"/>
    <w:rsid w:val="00EA66B3"/>
    <w:rsid w:val="00EA7F95"/>
    <w:rsid w:val="00EB551C"/>
    <w:rsid w:val="00EB793D"/>
    <w:rsid w:val="00EC5A04"/>
    <w:rsid w:val="00EC6BBB"/>
    <w:rsid w:val="00ED7CA7"/>
    <w:rsid w:val="00EE335B"/>
    <w:rsid w:val="00EE3E4A"/>
    <w:rsid w:val="00EE4C3F"/>
    <w:rsid w:val="00EF0F15"/>
    <w:rsid w:val="00EF7CA9"/>
    <w:rsid w:val="00F02751"/>
    <w:rsid w:val="00F044D2"/>
    <w:rsid w:val="00F2541B"/>
    <w:rsid w:val="00F33F13"/>
    <w:rsid w:val="00F3740B"/>
    <w:rsid w:val="00F40473"/>
    <w:rsid w:val="00F478C0"/>
    <w:rsid w:val="00F60449"/>
    <w:rsid w:val="00F63363"/>
    <w:rsid w:val="00F721D4"/>
    <w:rsid w:val="00F7238F"/>
    <w:rsid w:val="00F7365E"/>
    <w:rsid w:val="00F73B71"/>
    <w:rsid w:val="00F74D89"/>
    <w:rsid w:val="00F75987"/>
    <w:rsid w:val="00F759A9"/>
    <w:rsid w:val="00F81467"/>
    <w:rsid w:val="00F81963"/>
    <w:rsid w:val="00F8229C"/>
    <w:rsid w:val="00F90EFB"/>
    <w:rsid w:val="00F92DF0"/>
    <w:rsid w:val="00F95A6B"/>
    <w:rsid w:val="00FA0F6D"/>
    <w:rsid w:val="00FA6538"/>
    <w:rsid w:val="00FB3E9D"/>
    <w:rsid w:val="00FB3EC3"/>
    <w:rsid w:val="00FB6E8B"/>
    <w:rsid w:val="00FD19C8"/>
    <w:rsid w:val="00FD29A0"/>
    <w:rsid w:val="00FD6C1D"/>
    <w:rsid w:val="00FE0A8C"/>
    <w:rsid w:val="00FE62A6"/>
    <w:rsid w:val="00FF58AF"/>
    <w:rsid w:val="00FF6138"/>
    <w:rsid w:val="00FF74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46E4519"/>
  <w15:chartTrackingRefBased/>
  <w15:docId w15:val="{F95741B8-1CF2-4D6A-8800-ECF13807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CC2"/>
    <w:pPr>
      <w:spacing w:after="200" w:line="276" w:lineRule="auto"/>
    </w:pPr>
    <w:rPr>
      <w:rFonts w:eastAsiaTheme="minorEastAsia"/>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CC2"/>
    <w:pPr>
      <w:ind w:left="720"/>
      <w:contextualSpacing/>
    </w:pPr>
  </w:style>
  <w:style w:type="paragraph" w:styleId="BodyText">
    <w:name w:val="Body Text"/>
    <w:basedOn w:val="Normal"/>
    <w:link w:val="BodyTextChar"/>
    <w:rsid w:val="00C60CC2"/>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60CC2"/>
    <w:rPr>
      <w:rFonts w:ascii="Times New Roman" w:eastAsia="Times New Roman" w:hAnsi="Times New Roman" w:cs="Times New Roman"/>
      <w:sz w:val="24"/>
      <w:szCs w:val="20"/>
      <w:lang w:eastAsia="sk-SK"/>
    </w:rPr>
  </w:style>
  <w:style w:type="paragraph" w:styleId="BodyTextIndent2">
    <w:name w:val="Body Text Indent 2"/>
    <w:basedOn w:val="Normal"/>
    <w:link w:val="BodyTextIndent2Char"/>
    <w:rsid w:val="00C60CC2"/>
    <w:pPr>
      <w:spacing w:after="0" w:line="240" w:lineRule="auto"/>
      <w:ind w:firstLine="285"/>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C60CC2"/>
    <w:rPr>
      <w:rFonts w:ascii="Times New Roman" w:eastAsia="Times New Roman" w:hAnsi="Times New Roman" w:cs="Times New Roman"/>
      <w:sz w:val="24"/>
      <w:szCs w:val="20"/>
      <w:lang w:eastAsia="sk-SK"/>
    </w:rPr>
  </w:style>
  <w:style w:type="paragraph" w:styleId="BalloonText">
    <w:name w:val="Balloon Text"/>
    <w:basedOn w:val="Normal"/>
    <w:link w:val="BalloonTextChar"/>
    <w:uiPriority w:val="99"/>
    <w:semiHidden/>
    <w:unhideWhenUsed/>
    <w:rsid w:val="00C60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CC2"/>
    <w:rPr>
      <w:rFonts w:ascii="Tahoma" w:eastAsiaTheme="minorEastAsia" w:hAnsi="Tahoma" w:cs="Tahoma"/>
      <w:sz w:val="16"/>
      <w:szCs w:val="16"/>
      <w:lang w:eastAsia="sk-SK"/>
    </w:rPr>
  </w:style>
  <w:style w:type="paragraph" w:styleId="NormalWeb">
    <w:name w:val="Normal (Web)"/>
    <w:basedOn w:val="Normal"/>
    <w:uiPriority w:val="99"/>
    <w:semiHidden/>
    <w:unhideWhenUsed/>
    <w:rsid w:val="00C60C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rsid w:val="00C60CC2"/>
    <w:pPr>
      <w:spacing w:after="160" w:line="240" w:lineRule="exact"/>
    </w:pPr>
    <w:rPr>
      <w:rFonts w:ascii="Verdana" w:eastAsia="Times New Roman" w:hAnsi="Verdana" w:cs="Times New Roman"/>
      <w:sz w:val="20"/>
      <w:szCs w:val="20"/>
      <w:lang w:val="en-US"/>
    </w:rPr>
  </w:style>
  <w:style w:type="paragraph" w:styleId="Header">
    <w:name w:val="header"/>
    <w:basedOn w:val="Normal"/>
    <w:link w:val="HeaderChar"/>
    <w:uiPriority w:val="99"/>
    <w:unhideWhenUsed/>
    <w:rsid w:val="00C60C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0CC2"/>
    <w:rPr>
      <w:rFonts w:eastAsiaTheme="minorEastAsia"/>
      <w:lang w:eastAsia="sk-SK"/>
    </w:rPr>
  </w:style>
  <w:style w:type="paragraph" w:styleId="Footer">
    <w:name w:val="footer"/>
    <w:basedOn w:val="Normal"/>
    <w:link w:val="FooterChar"/>
    <w:uiPriority w:val="99"/>
    <w:unhideWhenUsed/>
    <w:rsid w:val="00C60C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0CC2"/>
    <w:rPr>
      <w:rFonts w:eastAsiaTheme="minorEastAsia"/>
      <w:lang w:eastAsia="sk-SK"/>
    </w:rPr>
  </w:style>
  <w:style w:type="paragraph" w:styleId="ListBullet3">
    <w:name w:val="List Bullet 3"/>
    <w:basedOn w:val="Normal"/>
    <w:autoRedefine/>
    <w:rsid w:val="00C60CC2"/>
    <w:pPr>
      <w:widowControl w:val="0"/>
      <w:adjustRightInd w:val="0"/>
      <w:spacing w:after="0" w:line="240" w:lineRule="auto"/>
      <w:ind w:left="720"/>
      <w:jc w:val="both"/>
      <w:textAlignment w:val="baseline"/>
    </w:pPr>
    <w:rPr>
      <w:rFonts w:ascii="Arial" w:eastAsia="Times New Roman" w:hAnsi="Arial" w:cs="Arial"/>
      <w:sz w:val="20"/>
      <w:szCs w:val="20"/>
      <w:lang w:val="pt-BR"/>
    </w:rPr>
  </w:style>
  <w:style w:type="paragraph" w:styleId="ListContinue2">
    <w:name w:val="List Continue 2"/>
    <w:basedOn w:val="Normal"/>
    <w:rsid w:val="00C60CC2"/>
    <w:pPr>
      <w:widowControl w:val="0"/>
      <w:adjustRightInd w:val="0"/>
      <w:spacing w:after="120" w:line="360" w:lineRule="atLeast"/>
      <w:ind w:left="566"/>
      <w:jc w:val="both"/>
      <w:textAlignment w:val="baseline"/>
    </w:pPr>
    <w:rPr>
      <w:rFonts w:ascii="Times New Roman" w:eastAsia="Times New Roman" w:hAnsi="Times New Roman" w:cs="Times New Roman"/>
      <w:sz w:val="24"/>
      <w:szCs w:val="24"/>
    </w:rPr>
  </w:style>
  <w:style w:type="paragraph" w:styleId="Title">
    <w:name w:val="Title"/>
    <w:basedOn w:val="Normal"/>
    <w:link w:val="TitleChar"/>
    <w:uiPriority w:val="99"/>
    <w:qFormat/>
    <w:rsid w:val="00C60CC2"/>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99"/>
    <w:rsid w:val="00C60CC2"/>
    <w:rPr>
      <w:rFonts w:ascii="Times New Roman" w:eastAsia="Times New Roman" w:hAnsi="Times New Roman" w:cs="Times New Roman"/>
      <w:b/>
      <w:sz w:val="24"/>
      <w:szCs w:val="20"/>
      <w:lang w:eastAsia="sk-SK"/>
    </w:rPr>
  </w:style>
  <w:style w:type="paragraph" w:customStyle="1" w:styleId="Default">
    <w:name w:val="Default"/>
    <w:rsid w:val="00C60CC2"/>
    <w:pPr>
      <w:widowControl w:val="0"/>
      <w:autoSpaceDE w:val="0"/>
      <w:autoSpaceDN w:val="0"/>
      <w:adjustRightInd w:val="0"/>
      <w:spacing w:after="0" w:line="240" w:lineRule="auto"/>
    </w:pPr>
    <w:rPr>
      <w:rFonts w:ascii="Arial" w:eastAsia="Times New Roman" w:hAnsi="Arial" w:cs="Arial"/>
      <w:color w:val="000000"/>
      <w:sz w:val="24"/>
      <w:szCs w:val="24"/>
      <w:lang w:val="hu-HU" w:eastAsia="hu-HU"/>
    </w:rPr>
  </w:style>
  <w:style w:type="character" w:styleId="CommentReference">
    <w:name w:val="annotation reference"/>
    <w:basedOn w:val="DefaultParagraphFont"/>
    <w:uiPriority w:val="99"/>
    <w:semiHidden/>
    <w:unhideWhenUsed/>
    <w:rsid w:val="00C60CC2"/>
    <w:rPr>
      <w:sz w:val="16"/>
      <w:szCs w:val="16"/>
    </w:rPr>
  </w:style>
  <w:style w:type="paragraph" w:styleId="CommentText">
    <w:name w:val="annotation text"/>
    <w:basedOn w:val="Normal"/>
    <w:link w:val="CommentTextChar"/>
    <w:uiPriority w:val="99"/>
    <w:semiHidden/>
    <w:unhideWhenUsed/>
    <w:rsid w:val="00C60CC2"/>
    <w:pPr>
      <w:spacing w:line="240" w:lineRule="auto"/>
    </w:pPr>
    <w:rPr>
      <w:sz w:val="20"/>
      <w:szCs w:val="20"/>
    </w:rPr>
  </w:style>
  <w:style w:type="character" w:customStyle="1" w:styleId="CommentTextChar">
    <w:name w:val="Comment Text Char"/>
    <w:basedOn w:val="DefaultParagraphFont"/>
    <w:link w:val="CommentText"/>
    <w:uiPriority w:val="99"/>
    <w:semiHidden/>
    <w:rsid w:val="00C60CC2"/>
    <w:rPr>
      <w:rFonts w:eastAsiaTheme="minorEastAsia"/>
      <w:sz w:val="20"/>
      <w:szCs w:val="20"/>
      <w:lang w:eastAsia="sk-SK"/>
    </w:rPr>
  </w:style>
  <w:style w:type="paragraph" w:styleId="CommentSubject">
    <w:name w:val="annotation subject"/>
    <w:basedOn w:val="CommentText"/>
    <w:next w:val="CommentText"/>
    <w:link w:val="CommentSubjectChar"/>
    <w:uiPriority w:val="99"/>
    <w:semiHidden/>
    <w:unhideWhenUsed/>
    <w:rsid w:val="00C60CC2"/>
    <w:rPr>
      <w:b/>
      <w:bCs/>
    </w:rPr>
  </w:style>
  <w:style w:type="character" w:customStyle="1" w:styleId="CommentSubjectChar">
    <w:name w:val="Comment Subject Char"/>
    <w:basedOn w:val="CommentTextChar"/>
    <w:link w:val="CommentSubject"/>
    <w:uiPriority w:val="99"/>
    <w:semiHidden/>
    <w:rsid w:val="00C60CC2"/>
    <w:rPr>
      <w:rFonts w:eastAsiaTheme="minorEastAsia"/>
      <w:b/>
      <w:bCs/>
      <w:sz w:val="20"/>
      <w:szCs w:val="20"/>
      <w:lang w:eastAsia="sk-SK"/>
    </w:rPr>
  </w:style>
  <w:style w:type="paragraph" w:styleId="FootnoteText">
    <w:name w:val="footnote text"/>
    <w:basedOn w:val="Normal"/>
    <w:link w:val="FootnoteTextChar"/>
    <w:uiPriority w:val="99"/>
    <w:semiHidden/>
    <w:unhideWhenUsed/>
    <w:rsid w:val="00C60C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CC2"/>
    <w:rPr>
      <w:rFonts w:eastAsiaTheme="minorEastAsia"/>
      <w:sz w:val="20"/>
      <w:szCs w:val="20"/>
      <w:lang w:eastAsia="sk-SK"/>
    </w:rPr>
  </w:style>
  <w:style w:type="character" w:styleId="FootnoteReference">
    <w:name w:val="footnote reference"/>
    <w:basedOn w:val="DefaultParagraphFont"/>
    <w:uiPriority w:val="99"/>
    <w:semiHidden/>
    <w:unhideWhenUsed/>
    <w:rsid w:val="00C60C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0042">
      <w:bodyDiv w:val="1"/>
      <w:marLeft w:val="0"/>
      <w:marRight w:val="0"/>
      <w:marTop w:val="0"/>
      <w:marBottom w:val="0"/>
      <w:divBdr>
        <w:top w:val="none" w:sz="0" w:space="0" w:color="auto"/>
        <w:left w:val="none" w:sz="0" w:space="0" w:color="auto"/>
        <w:bottom w:val="none" w:sz="0" w:space="0" w:color="auto"/>
        <w:right w:val="none" w:sz="0" w:space="0" w:color="auto"/>
      </w:divBdr>
    </w:div>
    <w:div w:id="56365166">
      <w:bodyDiv w:val="1"/>
      <w:marLeft w:val="0"/>
      <w:marRight w:val="0"/>
      <w:marTop w:val="0"/>
      <w:marBottom w:val="0"/>
      <w:divBdr>
        <w:top w:val="none" w:sz="0" w:space="0" w:color="auto"/>
        <w:left w:val="none" w:sz="0" w:space="0" w:color="auto"/>
        <w:bottom w:val="none" w:sz="0" w:space="0" w:color="auto"/>
        <w:right w:val="none" w:sz="0" w:space="0" w:color="auto"/>
      </w:divBdr>
    </w:div>
    <w:div w:id="57021849">
      <w:bodyDiv w:val="1"/>
      <w:marLeft w:val="0"/>
      <w:marRight w:val="0"/>
      <w:marTop w:val="0"/>
      <w:marBottom w:val="0"/>
      <w:divBdr>
        <w:top w:val="none" w:sz="0" w:space="0" w:color="auto"/>
        <w:left w:val="none" w:sz="0" w:space="0" w:color="auto"/>
        <w:bottom w:val="none" w:sz="0" w:space="0" w:color="auto"/>
        <w:right w:val="none" w:sz="0" w:space="0" w:color="auto"/>
      </w:divBdr>
    </w:div>
    <w:div w:id="108666237">
      <w:bodyDiv w:val="1"/>
      <w:marLeft w:val="0"/>
      <w:marRight w:val="0"/>
      <w:marTop w:val="0"/>
      <w:marBottom w:val="0"/>
      <w:divBdr>
        <w:top w:val="none" w:sz="0" w:space="0" w:color="auto"/>
        <w:left w:val="none" w:sz="0" w:space="0" w:color="auto"/>
        <w:bottom w:val="none" w:sz="0" w:space="0" w:color="auto"/>
        <w:right w:val="none" w:sz="0" w:space="0" w:color="auto"/>
      </w:divBdr>
    </w:div>
    <w:div w:id="223831893">
      <w:bodyDiv w:val="1"/>
      <w:marLeft w:val="0"/>
      <w:marRight w:val="0"/>
      <w:marTop w:val="0"/>
      <w:marBottom w:val="0"/>
      <w:divBdr>
        <w:top w:val="none" w:sz="0" w:space="0" w:color="auto"/>
        <w:left w:val="none" w:sz="0" w:space="0" w:color="auto"/>
        <w:bottom w:val="none" w:sz="0" w:space="0" w:color="auto"/>
        <w:right w:val="none" w:sz="0" w:space="0" w:color="auto"/>
      </w:divBdr>
    </w:div>
    <w:div w:id="235550049">
      <w:bodyDiv w:val="1"/>
      <w:marLeft w:val="0"/>
      <w:marRight w:val="0"/>
      <w:marTop w:val="0"/>
      <w:marBottom w:val="0"/>
      <w:divBdr>
        <w:top w:val="none" w:sz="0" w:space="0" w:color="auto"/>
        <w:left w:val="none" w:sz="0" w:space="0" w:color="auto"/>
        <w:bottom w:val="none" w:sz="0" w:space="0" w:color="auto"/>
        <w:right w:val="none" w:sz="0" w:space="0" w:color="auto"/>
      </w:divBdr>
    </w:div>
    <w:div w:id="240719438">
      <w:bodyDiv w:val="1"/>
      <w:marLeft w:val="0"/>
      <w:marRight w:val="0"/>
      <w:marTop w:val="0"/>
      <w:marBottom w:val="0"/>
      <w:divBdr>
        <w:top w:val="none" w:sz="0" w:space="0" w:color="auto"/>
        <w:left w:val="none" w:sz="0" w:space="0" w:color="auto"/>
        <w:bottom w:val="none" w:sz="0" w:space="0" w:color="auto"/>
        <w:right w:val="none" w:sz="0" w:space="0" w:color="auto"/>
      </w:divBdr>
    </w:div>
    <w:div w:id="243612008">
      <w:bodyDiv w:val="1"/>
      <w:marLeft w:val="0"/>
      <w:marRight w:val="0"/>
      <w:marTop w:val="0"/>
      <w:marBottom w:val="0"/>
      <w:divBdr>
        <w:top w:val="none" w:sz="0" w:space="0" w:color="auto"/>
        <w:left w:val="none" w:sz="0" w:space="0" w:color="auto"/>
        <w:bottom w:val="none" w:sz="0" w:space="0" w:color="auto"/>
        <w:right w:val="none" w:sz="0" w:space="0" w:color="auto"/>
      </w:divBdr>
    </w:div>
    <w:div w:id="247153655">
      <w:bodyDiv w:val="1"/>
      <w:marLeft w:val="0"/>
      <w:marRight w:val="0"/>
      <w:marTop w:val="0"/>
      <w:marBottom w:val="0"/>
      <w:divBdr>
        <w:top w:val="none" w:sz="0" w:space="0" w:color="auto"/>
        <w:left w:val="none" w:sz="0" w:space="0" w:color="auto"/>
        <w:bottom w:val="none" w:sz="0" w:space="0" w:color="auto"/>
        <w:right w:val="none" w:sz="0" w:space="0" w:color="auto"/>
      </w:divBdr>
    </w:div>
    <w:div w:id="257294864">
      <w:bodyDiv w:val="1"/>
      <w:marLeft w:val="0"/>
      <w:marRight w:val="0"/>
      <w:marTop w:val="0"/>
      <w:marBottom w:val="0"/>
      <w:divBdr>
        <w:top w:val="none" w:sz="0" w:space="0" w:color="auto"/>
        <w:left w:val="none" w:sz="0" w:space="0" w:color="auto"/>
        <w:bottom w:val="none" w:sz="0" w:space="0" w:color="auto"/>
        <w:right w:val="none" w:sz="0" w:space="0" w:color="auto"/>
      </w:divBdr>
    </w:div>
    <w:div w:id="259264186">
      <w:bodyDiv w:val="1"/>
      <w:marLeft w:val="0"/>
      <w:marRight w:val="0"/>
      <w:marTop w:val="0"/>
      <w:marBottom w:val="0"/>
      <w:divBdr>
        <w:top w:val="none" w:sz="0" w:space="0" w:color="auto"/>
        <w:left w:val="none" w:sz="0" w:space="0" w:color="auto"/>
        <w:bottom w:val="none" w:sz="0" w:space="0" w:color="auto"/>
        <w:right w:val="none" w:sz="0" w:space="0" w:color="auto"/>
      </w:divBdr>
    </w:div>
    <w:div w:id="270166479">
      <w:bodyDiv w:val="1"/>
      <w:marLeft w:val="0"/>
      <w:marRight w:val="0"/>
      <w:marTop w:val="0"/>
      <w:marBottom w:val="0"/>
      <w:divBdr>
        <w:top w:val="none" w:sz="0" w:space="0" w:color="auto"/>
        <w:left w:val="none" w:sz="0" w:space="0" w:color="auto"/>
        <w:bottom w:val="none" w:sz="0" w:space="0" w:color="auto"/>
        <w:right w:val="none" w:sz="0" w:space="0" w:color="auto"/>
      </w:divBdr>
    </w:div>
    <w:div w:id="331874699">
      <w:bodyDiv w:val="1"/>
      <w:marLeft w:val="0"/>
      <w:marRight w:val="0"/>
      <w:marTop w:val="0"/>
      <w:marBottom w:val="0"/>
      <w:divBdr>
        <w:top w:val="none" w:sz="0" w:space="0" w:color="auto"/>
        <w:left w:val="none" w:sz="0" w:space="0" w:color="auto"/>
        <w:bottom w:val="none" w:sz="0" w:space="0" w:color="auto"/>
        <w:right w:val="none" w:sz="0" w:space="0" w:color="auto"/>
      </w:divBdr>
    </w:div>
    <w:div w:id="331879624">
      <w:bodyDiv w:val="1"/>
      <w:marLeft w:val="0"/>
      <w:marRight w:val="0"/>
      <w:marTop w:val="0"/>
      <w:marBottom w:val="0"/>
      <w:divBdr>
        <w:top w:val="none" w:sz="0" w:space="0" w:color="auto"/>
        <w:left w:val="none" w:sz="0" w:space="0" w:color="auto"/>
        <w:bottom w:val="none" w:sz="0" w:space="0" w:color="auto"/>
        <w:right w:val="none" w:sz="0" w:space="0" w:color="auto"/>
      </w:divBdr>
    </w:div>
    <w:div w:id="359205063">
      <w:bodyDiv w:val="1"/>
      <w:marLeft w:val="0"/>
      <w:marRight w:val="0"/>
      <w:marTop w:val="0"/>
      <w:marBottom w:val="0"/>
      <w:divBdr>
        <w:top w:val="none" w:sz="0" w:space="0" w:color="auto"/>
        <w:left w:val="none" w:sz="0" w:space="0" w:color="auto"/>
        <w:bottom w:val="none" w:sz="0" w:space="0" w:color="auto"/>
        <w:right w:val="none" w:sz="0" w:space="0" w:color="auto"/>
      </w:divBdr>
    </w:div>
    <w:div w:id="375128898">
      <w:bodyDiv w:val="1"/>
      <w:marLeft w:val="0"/>
      <w:marRight w:val="0"/>
      <w:marTop w:val="0"/>
      <w:marBottom w:val="0"/>
      <w:divBdr>
        <w:top w:val="none" w:sz="0" w:space="0" w:color="auto"/>
        <w:left w:val="none" w:sz="0" w:space="0" w:color="auto"/>
        <w:bottom w:val="none" w:sz="0" w:space="0" w:color="auto"/>
        <w:right w:val="none" w:sz="0" w:space="0" w:color="auto"/>
      </w:divBdr>
    </w:div>
    <w:div w:id="384648381">
      <w:bodyDiv w:val="1"/>
      <w:marLeft w:val="0"/>
      <w:marRight w:val="0"/>
      <w:marTop w:val="0"/>
      <w:marBottom w:val="0"/>
      <w:divBdr>
        <w:top w:val="none" w:sz="0" w:space="0" w:color="auto"/>
        <w:left w:val="none" w:sz="0" w:space="0" w:color="auto"/>
        <w:bottom w:val="none" w:sz="0" w:space="0" w:color="auto"/>
        <w:right w:val="none" w:sz="0" w:space="0" w:color="auto"/>
      </w:divBdr>
    </w:div>
    <w:div w:id="395476104">
      <w:bodyDiv w:val="1"/>
      <w:marLeft w:val="0"/>
      <w:marRight w:val="0"/>
      <w:marTop w:val="0"/>
      <w:marBottom w:val="0"/>
      <w:divBdr>
        <w:top w:val="none" w:sz="0" w:space="0" w:color="auto"/>
        <w:left w:val="none" w:sz="0" w:space="0" w:color="auto"/>
        <w:bottom w:val="none" w:sz="0" w:space="0" w:color="auto"/>
        <w:right w:val="none" w:sz="0" w:space="0" w:color="auto"/>
      </w:divBdr>
    </w:div>
    <w:div w:id="401223219">
      <w:bodyDiv w:val="1"/>
      <w:marLeft w:val="0"/>
      <w:marRight w:val="0"/>
      <w:marTop w:val="0"/>
      <w:marBottom w:val="0"/>
      <w:divBdr>
        <w:top w:val="none" w:sz="0" w:space="0" w:color="auto"/>
        <w:left w:val="none" w:sz="0" w:space="0" w:color="auto"/>
        <w:bottom w:val="none" w:sz="0" w:space="0" w:color="auto"/>
        <w:right w:val="none" w:sz="0" w:space="0" w:color="auto"/>
      </w:divBdr>
    </w:div>
    <w:div w:id="425812974">
      <w:bodyDiv w:val="1"/>
      <w:marLeft w:val="0"/>
      <w:marRight w:val="0"/>
      <w:marTop w:val="0"/>
      <w:marBottom w:val="0"/>
      <w:divBdr>
        <w:top w:val="none" w:sz="0" w:space="0" w:color="auto"/>
        <w:left w:val="none" w:sz="0" w:space="0" w:color="auto"/>
        <w:bottom w:val="none" w:sz="0" w:space="0" w:color="auto"/>
        <w:right w:val="none" w:sz="0" w:space="0" w:color="auto"/>
      </w:divBdr>
    </w:div>
    <w:div w:id="454719979">
      <w:bodyDiv w:val="1"/>
      <w:marLeft w:val="0"/>
      <w:marRight w:val="0"/>
      <w:marTop w:val="0"/>
      <w:marBottom w:val="0"/>
      <w:divBdr>
        <w:top w:val="none" w:sz="0" w:space="0" w:color="auto"/>
        <w:left w:val="none" w:sz="0" w:space="0" w:color="auto"/>
        <w:bottom w:val="none" w:sz="0" w:space="0" w:color="auto"/>
        <w:right w:val="none" w:sz="0" w:space="0" w:color="auto"/>
      </w:divBdr>
    </w:div>
    <w:div w:id="457988992">
      <w:bodyDiv w:val="1"/>
      <w:marLeft w:val="0"/>
      <w:marRight w:val="0"/>
      <w:marTop w:val="0"/>
      <w:marBottom w:val="0"/>
      <w:divBdr>
        <w:top w:val="none" w:sz="0" w:space="0" w:color="auto"/>
        <w:left w:val="none" w:sz="0" w:space="0" w:color="auto"/>
        <w:bottom w:val="none" w:sz="0" w:space="0" w:color="auto"/>
        <w:right w:val="none" w:sz="0" w:space="0" w:color="auto"/>
      </w:divBdr>
    </w:div>
    <w:div w:id="471950356">
      <w:bodyDiv w:val="1"/>
      <w:marLeft w:val="0"/>
      <w:marRight w:val="0"/>
      <w:marTop w:val="0"/>
      <w:marBottom w:val="0"/>
      <w:divBdr>
        <w:top w:val="none" w:sz="0" w:space="0" w:color="auto"/>
        <w:left w:val="none" w:sz="0" w:space="0" w:color="auto"/>
        <w:bottom w:val="none" w:sz="0" w:space="0" w:color="auto"/>
        <w:right w:val="none" w:sz="0" w:space="0" w:color="auto"/>
      </w:divBdr>
    </w:div>
    <w:div w:id="479269428">
      <w:bodyDiv w:val="1"/>
      <w:marLeft w:val="0"/>
      <w:marRight w:val="0"/>
      <w:marTop w:val="0"/>
      <w:marBottom w:val="0"/>
      <w:divBdr>
        <w:top w:val="none" w:sz="0" w:space="0" w:color="auto"/>
        <w:left w:val="none" w:sz="0" w:space="0" w:color="auto"/>
        <w:bottom w:val="none" w:sz="0" w:space="0" w:color="auto"/>
        <w:right w:val="none" w:sz="0" w:space="0" w:color="auto"/>
      </w:divBdr>
    </w:div>
    <w:div w:id="480390139">
      <w:bodyDiv w:val="1"/>
      <w:marLeft w:val="0"/>
      <w:marRight w:val="0"/>
      <w:marTop w:val="0"/>
      <w:marBottom w:val="0"/>
      <w:divBdr>
        <w:top w:val="none" w:sz="0" w:space="0" w:color="auto"/>
        <w:left w:val="none" w:sz="0" w:space="0" w:color="auto"/>
        <w:bottom w:val="none" w:sz="0" w:space="0" w:color="auto"/>
        <w:right w:val="none" w:sz="0" w:space="0" w:color="auto"/>
      </w:divBdr>
    </w:div>
    <w:div w:id="539047958">
      <w:bodyDiv w:val="1"/>
      <w:marLeft w:val="0"/>
      <w:marRight w:val="0"/>
      <w:marTop w:val="0"/>
      <w:marBottom w:val="0"/>
      <w:divBdr>
        <w:top w:val="none" w:sz="0" w:space="0" w:color="auto"/>
        <w:left w:val="none" w:sz="0" w:space="0" w:color="auto"/>
        <w:bottom w:val="none" w:sz="0" w:space="0" w:color="auto"/>
        <w:right w:val="none" w:sz="0" w:space="0" w:color="auto"/>
      </w:divBdr>
    </w:div>
    <w:div w:id="618494875">
      <w:bodyDiv w:val="1"/>
      <w:marLeft w:val="0"/>
      <w:marRight w:val="0"/>
      <w:marTop w:val="0"/>
      <w:marBottom w:val="0"/>
      <w:divBdr>
        <w:top w:val="none" w:sz="0" w:space="0" w:color="auto"/>
        <w:left w:val="none" w:sz="0" w:space="0" w:color="auto"/>
        <w:bottom w:val="none" w:sz="0" w:space="0" w:color="auto"/>
        <w:right w:val="none" w:sz="0" w:space="0" w:color="auto"/>
      </w:divBdr>
    </w:div>
    <w:div w:id="636569854">
      <w:bodyDiv w:val="1"/>
      <w:marLeft w:val="0"/>
      <w:marRight w:val="0"/>
      <w:marTop w:val="0"/>
      <w:marBottom w:val="0"/>
      <w:divBdr>
        <w:top w:val="none" w:sz="0" w:space="0" w:color="auto"/>
        <w:left w:val="none" w:sz="0" w:space="0" w:color="auto"/>
        <w:bottom w:val="none" w:sz="0" w:space="0" w:color="auto"/>
        <w:right w:val="none" w:sz="0" w:space="0" w:color="auto"/>
      </w:divBdr>
    </w:div>
    <w:div w:id="651759701">
      <w:bodyDiv w:val="1"/>
      <w:marLeft w:val="0"/>
      <w:marRight w:val="0"/>
      <w:marTop w:val="0"/>
      <w:marBottom w:val="0"/>
      <w:divBdr>
        <w:top w:val="none" w:sz="0" w:space="0" w:color="auto"/>
        <w:left w:val="none" w:sz="0" w:space="0" w:color="auto"/>
        <w:bottom w:val="none" w:sz="0" w:space="0" w:color="auto"/>
        <w:right w:val="none" w:sz="0" w:space="0" w:color="auto"/>
      </w:divBdr>
    </w:div>
    <w:div w:id="654922065">
      <w:bodyDiv w:val="1"/>
      <w:marLeft w:val="0"/>
      <w:marRight w:val="0"/>
      <w:marTop w:val="0"/>
      <w:marBottom w:val="0"/>
      <w:divBdr>
        <w:top w:val="none" w:sz="0" w:space="0" w:color="auto"/>
        <w:left w:val="none" w:sz="0" w:space="0" w:color="auto"/>
        <w:bottom w:val="none" w:sz="0" w:space="0" w:color="auto"/>
        <w:right w:val="none" w:sz="0" w:space="0" w:color="auto"/>
      </w:divBdr>
    </w:div>
    <w:div w:id="727656353">
      <w:bodyDiv w:val="1"/>
      <w:marLeft w:val="0"/>
      <w:marRight w:val="0"/>
      <w:marTop w:val="0"/>
      <w:marBottom w:val="0"/>
      <w:divBdr>
        <w:top w:val="none" w:sz="0" w:space="0" w:color="auto"/>
        <w:left w:val="none" w:sz="0" w:space="0" w:color="auto"/>
        <w:bottom w:val="none" w:sz="0" w:space="0" w:color="auto"/>
        <w:right w:val="none" w:sz="0" w:space="0" w:color="auto"/>
      </w:divBdr>
    </w:div>
    <w:div w:id="737944841">
      <w:bodyDiv w:val="1"/>
      <w:marLeft w:val="0"/>
      <w:marRight w:val="0"/>
      <w:marTop w:val="0"/>
      <w:marBottom w:val="0"/>
      <w:divBdr>
        <w:top w:val="none" w:sz="0" w:space="0" w:color="auto"/>
        <w:left w:val="none" w:sz="0" w:space="0" w:color="auto"/>
        <w:bottom w:val="none" w:sz="0" w:space="0" w:color="auto"/>
        <w:right w:val="none" w:sz="0" w:space="0" w:color="auto"/>
      </w:divBdr>
    </w:div>
    <w:div w:id="765807909">
      <w:bodyDiv w:val="1"/>
      <w:marLeft w:val="0"/>
      <w:marRight w:val="0"/>
      <w:marTop w:val="0"/>
      <w:marBottom w:val="0"/>
      <w:divBdr>
        <w:top w:val="none" w:sz="0" w:space="0" w:color="auto"/>
        <w:left w:val="none" w:sz="0" w:space="0" w:color="auto"/>
        <w:bottom w:val="none" w:sz="0" w:space="0" w:color="auto"/>
        <w:right w:val="none" w:sz="0" w:space="0" w:color="auto"/>
      </w:divBdr>
    </w:div>
    <w:div w:id="777454153">
      <w:bodyDiv w:val="1"/>
      <w:marLeft w:val="0"/>
      <w:marRight w:val="0"/>
      <w:marTop w:val="0"/>
      <w:marBottom w:val="0"/>
      <w:divBdr>
        <w:top w:val="none" w:sz="0" w:space="0" w:color="auto"/>
        <w:left w:val="none" w:sz="0" w:space="0" w:color="auto"/>
        <w:bottom w:val="none" w:sz="0" w:space="0" w:color="auto"/>
        <w:right w:val="none" w:sz="0" w:space="0" w:color="auto"/>
      </w:divBdr>
    </w:div>
    <w:div w:id="786388149">
      <w:bodyDiv w:val="1"/>
      <w:marLeft w:val="0"/>
      <w:marRight w:val="0"/>
      <w:marTop w:val="0"/>
      <w:marBottom w:val="0"/>
      <w:divBdr>
        <w:top w:val="none" w:sz="0" w:space="0" w:color="auto"/>
        <w:left w:val="none" w:sz="0" w:space="0" w:color="auto"/>
        <w:bottom w:val="none" w:sz="0" w:space="0" w:color="auto"/>
        <w:right w:val="none" w:sz="0" w:space="0" w:color="auto"/>
      </w:divBdr>
    </w:div>
    <w:div w:id="807670255">
      <w:bodyDiv w:val="1"/>
      <w:marLeft w:val="0"/>
      <w:marRight w:val="0"/>
      <w:marTop w:val="0"/>
      <w:marBottom w:val="0"/>
      <w:divBdr>
        <w:top w:val="none" w:sz="0" w:space="0" w:color="auto"/>
        <w:left w:val="none" w:sz="0" w:space="0" w:color="auto"/>
        <w:bottom w:val="none" w:sz="0" w:space="0" w:color="auto"/>
        <w:right w:val="none" w:sz="0" w:space="0" w:color="auto"/>
      </w:divBdr>
    </w:div>
    <w:div w:id="832527453">
      <w:bodyDiv w:val="1"/>
      <w:marLeft w:val="0"/>
      <w:marRight w:val="0"/>
      <w:marTop w:val="0"/>
      <w:marBottom w:val="0"/>
      <w:divBdr>
        <w:top w:val="none" w:sz="0" w:space="0" w:color="auto"/>
        <w:left w:val="none" w:sz="0" w:space="0" w:color="auto"/>
        <w:bottom w:val="none" w:sz="0" w:space="0" w:color="auto"/>
        <w:right w:val="none" w:sz="0" w:space="0" w:color="auto"/>
      </w:divBdr>
    </w:div>
    <w:div w:id="847717072">
      <w:bodyDiv w:val="1"/>
      <w:marLeft w:val="0"/>
      <w:marRight w:val="0"/>
      <w:marTop w:val="0"/>
      <w:marBottom w:val="0"/>
      <w:divBdr>
        <w:top w:val="none" w:sz="0" w:space="0" w:color="auto"/>
        <w:left w:val="none" w:sz="0" w:space="0" w:color="auto"/>
        <w:bottom w:val="none" w:sz="0" w:space="0" w:color="auto"/>
        <w:right w:val="none" w:sz="0" w:space="0" w:color="auto"/>
      </w:divBdr>
    </w:div>
    <w:div w:id="851067347">
      <w:bodyDiv w:val="1"/>
      <w:marLeft w:val="0"/>
      <w:marRight w:val="0"/>
      <w:marTop w:val="0"/>
      <w:marBottom w:val="0"/>
      <w:divBdr>
        <w:top w:val="none" w:sz="0" w:space="0" w:color="auto"/>
        <w:left w:val="none" w:sz="0" w:space="0" w:color="auto"/>
        <w:bottom w:val="none" w:sz="0" w:space="0" w:color="auto"/>
        <w:right w:val="none" w:sz="0" w:space="0" w:color="auto"/>
      </w:divBdr>
    </w:div>
    <w:div w:id="868836738">
      <w:bodyDiv w:val="1"/>
      <w:marLeft w:val="0"/>
      <w:marRight w:val="0"/>
      <w:marTop w:val="0"/>
      <w:marBottom w:val="0"/>
      <w:divBdr>
        <w:top w:val="none" w:sz="0" w:space="0" w:color="auto"/>
        <w:left w:val="none" w:sz="0" w:space="0" w:color="auto"/>
        <w:bottom w:val="none" w:sz="0" w:space="0" w:color="auto"/>
        <w:right w:val="none" w:sz="0" w:space="0" w:color="auto"/>
      </w:divBdr>
    </w:div>
    <w:div w:id="869991544">
      <w:bodyDiv w:val="1"/>
      <w:marLeft w:val="0"/>
      <w:marRight w:val="0"/>
      <w:marTop w:val="0"/>
      <w:marBottom w:val="0"/>
      <w:divBdr>
        <w:top w:val="none" w:sz="0" w:space="0" w:color="auto"/>
        <w:left w:val="none" w:sz="0" w:space="0" w:color="auto"/>
        <w:bottom w:val="none" w:sz="0" w:space="0" w:color="auto"/>
        <w:right w:val="none" w:sz="0" w:space="0" w:color="auto"/>
      </w:divBdr>
    </w:div>
    <w:div w:id="893811269">
      <w:bodyDiv w:val="1"/>
      <w:marLeft w:val="0"/>
      <w:marRight w:val="0"/>
      <w:marTop w:val="0"/>
      <w:marBottom w:val="0"/>
      <w:divBdr>
        <w:top w:val="none" w:sz="0" w:space="0" w:color="auto"/>
        <w:left w:val="none" w:sz="0" w:space="0" w:color="auto"/>
        <w:bottom w:val="none" w:sz="0" w:space="0" w:color="auto"/>
        <w:right w:val="none" w:sz="0" w:space="0" w:color="auto"/>
      </w:divBdr>
    </w:div>
    <w:div w:id="933634074">
      <w:bodyDiv w:val="1"/>
      <w:marLeft w:val="0"/>
      <w:marRight w:val="0"/>
      <w:marTop w:val="0"/>
      <w:marBottom w:val="0"/>
      <w:divBdr>
        <w:top w:val="none" w:sz="0" w:space="0" w:color="auto"/>
        <w:left w:val="none" w:sz="0" w:space="0" w:color="auto"/>
        <w:bottom w:val="none" w:sz="0" w:space="0" w:color="auto"/>
        <w:right w:val="none" w:sz="0" w:space="0" w:color="auto"/>
      </w:divBdr>
    </w:div>
    <w:div w:id="936257704">
      <w:bodyDiv w:val="1"/>
      <w:marLeft w:val="0"/>
      <w:marRight w:val="0"/>
      <w:marTop w:val="0"/>
      <w:marBottom w:val="0"/>
      <w:divBdr>
        <w:top w:val="none" w:sz="0" w:space="0" w:color="auto"/>
        <w:left w:val="none" w:sz="0" w:space="0" w:color="auto"/>
        <w:bottom w:val="none" w:sz="0" w:space="0" w:color="auto"/>
        <w:right w:val="none" w:sz="0" w:space="0" w:color="auto"/>
      </w:divBdr>
    </w:div>
    <w:div w:id="958726911">
      <w:bodyDiv w:val="1"/>
      <w:marLeft w:val="0"/>
      <w:marRight w:val="0"/>
      <w:marTop w:val="0"/>
      <w:marBottom w:val="0"/>
      <w:divBdr>
        <w:top w:val="none" w:sz="0" w:space="0" w:color="auto"/>
        <w:left w:val="none" w:sz="0" w:space="0" w:color="auto"/>
        <w:bottom w:val="none" w:sz="0" w:space="0" w:color="auto"/>
        <w:right w:val="none" w:sz="0" w:space="0" w:color="auto"/>
      </w:divBdr>
    </w:div>
    <w:div w:id="962612119">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1007246535">
      <w:bodyDiv w:val="1"/>
      <w:marLeft w:val="0"/>
      <w:marRight w:val="0"/>
      <w:marTop w:val="0"/>
      <w:marBottom w:val="0"/>
      <w:divBdr>
        <w:top w:val="none" w:sz="0" w:space="0" w:color="auto"/>
        <w:left w:val="none" w:sz="0" w:space="0" w:color="auto"/>
        <w:bottom w:val="none" w:sz="0" w:space="0" w:color="auto"/>
        <w:right w:val="none" w:sz="0" w:space="0" w:color="auto"/>
      </w:divBdr>
    </w:div>
    <w:div w:id="1049451523">
      <w:bodyDiv w:val="1"/>
      <w:marLeft w:val="0"/>
      <w:marRight w:val="0"/>
      <w:marTop w:val="0"/>
      <w:marBottom w:val="0"/>
      <w:divBdr>
        <w:top w:val="none" w:sz="0" w:space="0" w:color="auto"/>
        <w:left w:val="none" w:sz="0" w:space="0" w:color="auto"/>
        <w:bottom w:val="none" w:sz="0" w:space="0" w:color="auto"/>
        <w:right w:val="none" w:sz="0" w:space="0" w:color="auto"/>
      </w:divBdr>
    </w:div>
    <w:div w:id="1143893566">
      <w:bodyDiv w:val="1"/>
      <w:marLeft w:val="0"/>
      <w:marRight w:val="0"/>
      <w:marTop w:val="0"/>
      <w:marBottom w:val="0"/>
      <w:divBdr>
        <w:top w:val="none" w:sz="0" w:space="0" w:color="auto"/>
        <w:left w:val="none" w:sz="0" w:space="0" w:color="auto"/>
        <w:bottom w:val="none" w:sz="0" w:space="0" w:color="auto"/>
        <w:right w:val="none" w:sz="0" w:space="0" w:color="auto"/>
      </w:divBdr>
    </w:div>
    <w:div w:id="1166170337">
      <w:bodyDiv w:val="1"/>
      <w:marLeft w:val="0"/>
      <w:marRight w:val="0"/>
      <w:marTop w:val="0"/>
      <w:marBottom w:val="0"/>
      <w:divBdr>
        <w:top w:val="none" w:sz="0" w:space="0" w:color="auto"/>
        <w:left w:val="none" w:sz="0" w:space="0" w:color="auto"/>
        <w:bottom w:val="none" w:sz="0" w:space="0" w:color="auto"/>
        <w:right w:val="none" w:sz="0" w:space="0" w:color="auto"/>
      </w:divBdr>
    </w:div>
    <w:div w:id="1192953709">
      <w:bodyDiv w:val="1"/>
      <w:marLeft w:val="0"/>
      <w:marRight w:val="0"/>
      <w:marTop w:val="0"/>
      <w:marBottom w:val="0"/>
      <w:divBdr>
        <w:top w:val="none" w:sz="0" w:space="0" w:color="auto"/>
        <w:left w:val="none" w:sz="0" w:space="0" w:color="auto"/>
        <w:bottom w:val="none" w:sz="0" w:space="0" w:color="auto"/>
        <w:right w:val="none" w:sz="0" w:space="0" w:color="auto"/>
      </w:divBdr>
    </w:div>
    <w:div w:id="1192962792">
      <w:bodyDiv w:val="1"/>
      <w:marLeft w:val="0"/>
      <w:marRight w:val="0"/>
      <w:marTop w:val="0"/>
      <w:marBottom w:val="0"/>
      <w:divBdr>
        <w:top w:val="none" w:sz="0" w:space="0" w:color="auto"/>
        <w:left w:val="none" w:sz="0" w:space="0" w:color="auto"/>
        <w:bottom w:val="none" w:sz="0" w:space="0" w:color="auto"/>
        <w:right w:val="none" w:sz="0" w:space="0" w:color="auto"/>
      </w:divBdr>
    </w:div>
    <w:div w:id="1240753344">
      <w:bodyDiv w:val="1"/>
      <w:marLeft w:val="0"/>
      <w:marRight w:val="0"/>
      <w:marTop w:val="0"/>
      <w:marBottom w:val="0"/>
      <w:divBdr>
        <w:top w:val="none" w:sz="0" w:space="0" w:color="auto"/>
        <w:left w:val="none" w:sz="0" w:space="0" w:color="auto"/>
        <w:bottom w:val="none" w:sz="0" w:space="0" w:color="auto"/>
        <w:right w:val="none" w:sz="0" w:space="0" w:color="auto"/>
      </w:divBdr>
    </w:div>
    <w:div w:id="1278293157">
      <w:bodyDiv w:val="1"/>
      <w:marLeft w:val="0"/>
      <w:marRight w:val="0"/>
      <w:marTop w:val="0"/>
      <w:marBottom w:val="0"/>
      <w:divBdr>
        <w:top w:val="none" w:sz="0" w:space="0" w:color="auto"/>
        <w:left w:val="none" w:sz="0" w:space="0" w:color="auto"/>
        <w:bottom w:val="none" w:sz="0" w:space="0" w:color="auto"/>
        <w:right w:val="none" w:sz="0" w:space="0" w:color="auto"/>
      </w:divBdr>
    </w:div>
    <w:div w:id="1286154524">
      <w:bodyDiv w:val="1"/>
      <w:marLeft w:val="0"/>
      <w:marRight w:val="0"/>
      <w:marTop w:val="0"/>
      <w:marBottom w:val="0"/>
      <w:divBdr>
        <w:top w:val="none" w:sz="0" w:space="0" w:color="auto"/>
        <w:left w:val="none" w:sz="0" w:space="0" w:color="auto"/>
        <w:bottom w:val="none" w:sz="0" w:space="0" w:color="auto"/>
        <w:right w:val="none" w:sz="0" w:space="0" w:color="auto"/>
      </w:divBdr>
    </w:div>
    <w:div w:id="1301300550">
      <w:bodyDiv w:val="1"/>
      <w:marLeft w:val="0"/>
      <w:marRight w:val="0"/>
      <w:marTop w:val="0"/>
      <w:marBottom w:val="0"/>
      <w:divBdr>
        <w:top w:val="none" w:sz="0" w:space="0" w:color="auto"/>
        <w:left w:val="none" w:sz="0" w:space="0" w:color="auto"/>
        <w:bottom w:val="none" w:sz="0" w:space="0" w:color="auto"/>
        <w:right w:val="none" w:sz="0" w:space="0" w:color="auto"/>
      </w:divBdr>
    </w:div>
    <w:div w:id="1318150725">
      <w:bodyDiv w:val="1"/>
      <w:marLeft w:val="0"/>
      <w:marRight w:val="0"/>
      <w:marTop w:val="0"/>
      <w:marBottom w:val="0"/>
      <w:divBdr>
        <w:top w:val="none" w:sz="0" w:space="0" w:color="auto"/>
        <w:left w:val="none" w:sz="0" w:space="0" w:color="auto"/>
        <w:bottom w:val="none" w:sz="0" w:space="0" w:color="auto"/>
        <w:right w:val="none" w:sz="0" w:space="0" w:color="auto"/>
      </w:divBdr>
    </w:div>
    <w:div w:id="1360735974">
      <w:bodyDiv w:val="1"/>
      <w:marLeft w:val="0"/>
      <w:marRight w:val="0"/>
      <w:marTop w:val="0"/>
      <w:marBottom w:val="0"/>
      <w:divBdr>
        <w:top w:val="none" w:sz="0" w:space="0" w:color="auto"/>
        <w:left w:val="none" w:sz="0" w:space="0" w:color="auto"/>
        <w:bottom w:val="none" w:sz="0" w:space="0" w:color="auto"/>
        <w:right w:val="none" w:sz="0" w:space="0" w:color="auto"/>
      </w:divBdr>
    </w:div>
    <w:div w:id="1370644210">
      <w:bodyDiv w:val="1"/>
      <w:marLeft w:val="0"/>
      <w:marRight w:val="0"/>
      <w:marTop w:val="0"/>
      <w:marBottom w:val="0"/>
      <w:divBdr>
        <w:top w:val="none" w:sz="0" w:space="0" w:color="auto"/>
        <w:left w:val="none" w:sz="0" w:space="0" w:color="auto"/>
        <w:bottom w:val="none" w:sz="0" w:space="0" w:color="auto"/>
        <w:right w:val="none" w:sz="0" w:space="0" w:color="auto"/>
      </w:divBdr>
    </w:div>
    <w:div w:id="1378971227">
      <w:bodyDiv w:val="1"/>
      <w:marLeft w:val="0"/>
      <w:marRight w:val="0"/>
      <w:marTop w:val="0"/>
      <w:marBottom w:val="0"/>
      <w:divBdr>
        <w:top w:val="none" w:sz="0" w:space="0" w:color="auto"/>
        <w:left w:val="none" w:sz="0" w:space="0" w:color="auto"/>
        <w:bottom w:val="none" w:sz="0" w:space="0" w:color="auto"/>
        <w:right w:val="none" w:sz="0" w:space="0" w:color="auto"/>
      </w:divBdr>
    </w:div>
    <w:div w:id="1381318030">
      <w:bodyDiv w:val="1"/>
      <w:marLeft w:val="0"/>
      <w:marRight w:val="0"/>
      <w:marTop w:val="0"/>
      <w:marBottom w:val="0"/>
      <w:divBdr>
        <w:top w:val="none" w:sz="0" w:space="0" w:color="auto"/>
        <w:left w:val="none" w:sz="0" w:space="0" w:color="auto"/>
        <w:bottom w:val="none" w:sz="0" w:space="0" w:color="auto"/>
        <w:right w:val="none" w:sz="0" w:space="0" w:color="auto"/>
      </w:divBdr>
    </w:div>
    <w:div w:id="1408721174">
      <w:bodyDiv w:val="1"/>
      <w:marLeft w:val="0"/>
      <w:marRight w:val="0"/>
      <w:marTop w:val="0"/>
      <w:marBottom w:val="0"/>
      <w:divBdr>
        <w:top w:val="none" w:sz="0" w:space="0" w:color="auto"/>
        <w:left w:val="none" w:sz="0" w:space="0" w:color="auto"/>
        <w:bottom w:val="none" w:sz="0" w:space="0" w:color="auto"/>
        <w:right w:val="none" w:sz="0" w:space="0" w:color="auto"/>
      </w:divBdr>
    </w:div>
    <w:div w:id="1430157222">
      <w:bodyDiv w:val="1"/>
      <w:marLeft w:val="0"/>
      <w:marRight w:val="0"/>
      <w:marTop w:val="0"/>
      <w:marBottom w:val="0"/>
      <w:divBdr>
        <w:top w:val="none" w:sz="0" w:space="0" w:color="auto"/>
        <w:left w:val="none" w:sz="0" w:space="0" w:color="auto"/>
        <w:bottom w:val="none" w:sz="0" w:space="0" w:color="auto"/>
        <w:right w:val="none" w:sz="0" w:space="0" w:color="auto"/>
      </w:divBdr>
    </w:div>
    <w:div w:id="1486898850">
      <w:bodyDiv w:val="1"/>
      <w:marLeft w:val="0"/>
      <w:marRight w:val="0"/>
      <w:marTop w:val="0"/>
      <w:marBottom w:val="0"/>
      <w:divBdr>
        <w:top w:val="none" w:sz="0" w:space="0" w:color="auto"/>
        <w:left w:val="none" w:sz="0" w:space="0" w:color="auto"/>
        <w:bottom w:val="none" w:sz="0" w:space="0" w:color="auto"/>
        <w:right w:val="none" w:sz="0" w:space="0" w:color="auto"/>
      </w:divBdr>
    </w:div>
    <w:div w:id="1566140231">
      <w:bodyDiv w:val="1"/>
      <w:marLeft w:val="0"/>
      <w:marRight w:val="0"/>
      <w:marTop w:val="0"/>
      <w:marBottom w:val="0"/>
      <w:divBdr>
        <w:top w:val="none" w:sz="0" w:space="0" w:color="auto"/>
        <w:left w:val="none" w:sz="0" w:space="0" w:color="auto"/>
        <w:bottom w:val="none" w:sz="0" w:space="0" w:color="auto"/>
        <w:right w:val="none" w:sz="0" w:space="0" w:color="auto"/>
      </w:divBdr>
    </w:div>
    <w:div w:id="1592466831">
      <w:bodyDiv w:val="1"/>
      <w:marLeft w:val="0"/>
      <w:marRight w:val="0"/>
      <w:marTop w:val="0"/>
      <w:marBottom w:val="0"/>
      <w:divBdr>
        <w:top w:val="none" w:sz="0" w:space="0" w:color="auto"/>
        <w:left w:val="none" w:sz="0" w:space="0" w:color="auto"/>
        <w:bottom w:val="none" w:sz="0" w:space="0" w:color="auto"/>
        <w:right w:val="none" w:sz="0" w:space="0" w:color="auto"/>
      </w:divBdr>
    </w:div>
    <w:div w:id="1635326019">
      <w:bodyDiv w:val="1"/>
      <w:marLeft w:val="0"/>
      <w:marRight w:val="0"/>
      <w:marTop w:val="0"/>
      <w:marBottom w:val="0"/>
      <w:divBdr>
        <w:top w:val="none" w:sz="0" w:space="0" w:color="auto"/>
        <w:left w:val="none" w:sz="0" w:space="0" w:color="auto"/>
        <w:bottom w:val="none" w:sz="0" w:space="0" w:color="auto"/>
        <w:right w:val="none" w:sz="0" w:space="0" w:color="auto"/>
      </w:divBdr>
    </w:div>
    <w:div w:id="1644771030">
      <w:bodyDiv w:val="1"/>
      <w:marLeft w:val="0"/>
      <w:marRight w:val="0"/>
      <w:marTop w:val="0"/>
      <w:marBottom w:val="0"/>
      <w:divBdr>
        <w:top w:val="none" w:sz="0" w:space="0" w:color="auto"/>
        <w:left w:val="none" w:sz="0" w:space="0" w:color="auto"/>
        <w:bottom w:val="none" w:sz="0" w:space="0" w:color="auto"/>
        <w:right w:val="none" w:sz="0" w:space="0" w:color="auto"/>
      </w:divBdr>
    </w:div>
    <w:div w:id="1649552339">
      <w:bodyDiv w:val="1"/>
      <w:marLeft w:val="0"/>
      <w:marRight w:val="0"/>
      <w:marTop w:val="0"/>
      <w:marBottom w:val="0"/>
      <w:divBdr>
        <w:top w:val="none" w:sz="0" w:space="0" w:color="auto"/>
        <w:left w:val="none" w:sz="0" w:space="0" w:color="auto"/>
        <w:bottom w:val="none" w:sz="0" w:space="0" w:color="auto"/>
        <w:right w:val="none" w:sz="0" w:space="0" w:color="auto"/>
      </w:divBdr>
    </w:div>
    <w:div w:id="1653556328">
      <w:bodyDiv w:val="1"/>
      <w:marLeft w:val="0"/>
      <w:marRight w:val="0"/>
      <w:marTop w:val="0"/>
      <w:marBottom w:val="0"/>
      <w:divBdr>
        <w:top w:val="none" w:sz="0" w:space="0" w:color="auto"/>
        <w:left w:val="none" w:sz="0" w:space="0" w:color="auto"/>
        <w:bottom w:val="none" w:sz="0" w:space="0" w:color="auto"/>
        <w:right w:val="none" w:sz="0" w:space="0" w:color="auto"/>
      </w:divBdr>
    </w:div>
    <w:div w:id="1660108671">
      <w:bodyDiv w:val="1"/>
      <w:marLeft w:val="0"/>
      <w:marRight w:val="0"/>
      <w:marTop w:val="0"/>
      <w:marBottom w:val="0"/>
      <w:divBdr>
        <w:top w:val="none" w:sz="0" w:space="0" w:color="auto"/>
        <w:left w:val="none" w:sz="0" w:space="0" w:color="auto"/>
        <w:bottom w:val="none" w:sz="0" w:space="0" w:color="auto"/>
        <w:right w:val="none" w:sz="0" w:space="0" w:color="auto"/>
      </w:divBdr>
    </w:div>
    <w:div w:id="1663042238">
      <w:bodyDiv w:val="1"/>
      <w:marLeft w:val="0"/>
      <w:marRight w:val="0"/>
      <w:marTop w:val="0"/>
      <w:marBottom w:val="0"/>
      <w:divBdr>
        <w:top w:val="none" w:sz="0" w:space="0" w:color="auto"/>
        <w:left w:val="none" w:sz="0" w:space="0" w:color="auto"/>
        <w:bottom w:val="none" w:sz="0" w:space="0" w:color="auto"/>
        <w:right w:val="none" w:sz="0" w:space="0" w:color="auto"/>
      </w:divBdr>
    </w:div>
    <w:div w:id="1668552117">
      <w:bodyDiv w:val="1"/>
      <w:marLeft w:val="0"/>
      <w:marRight w:val="0"/>
      <w:marTop w:val="0"/>
      <w:marBottom w:val="0"/>
      <w:divBdr>
        <w:top w:val="none" w:sz="0" w:space="0" w:color="auto"/>
        <w:left w:val="none" w:sz="0" w:space="0" w:color="auto"/>
        <w:bottom w:val="none" w:sz="0" w:space="0" w:color="auto"/>
        <w:right w:val="none" w:sz="0" w:space="0" w:color="auto"/>
      </w:divBdr>
    </w:div>
    <w:div w:id="1739014188">
      <w:bodyDiv w:val="1"/>
      <w:marLeft w:val="0"/>
      <w:marRight w:val="0"/>
      <w:marTop w:val="0"/>
      <w:marBottom w:val="0"/>
      <w:divBdr>
        <w:top w:val="none" w:sz="0" w:space="0" w:color="auto"/>
        <w:left w:val="none" w:sz="0" w:space="0" w:color="auto"/>
        <w:bottom w:val="none" w:sz="0" w:space="0" w:color="auto"/>
        <w:right w:val="none" w:sz="0" w:space="0" w:color="auto"/>
      </w:divBdr>
    </w:div>
    <w:div w:id="1742211187">
      <w:bodyDiv w:val="1"/>
      <w:marLeft w:val="0"/>
      <w:marRight w:val="0"/>
      <w:marTop w:val="0"/>
      <w:marBottom w:val="0"/>
      <w:divBdr>
        <w:top w:val="none" w:sz="0" w:space="0" w:color="auto"/>
        <w:left w:val="none" w:sz="0" w:space="0" w:color="auto"/>
        <w:bottom w:val="none" w:sz="0" w:space="0" w:color="auto"/>
        <w:right w:val="none" w:sz="0" w:space="0" w:color="auto"/>
      </w:divBdr>
    </w:div>
    <w:div w:id="1783840015">
      <w:bodyDiv w:val="1"/>
      <w:marLeft w:val="0"/>
      <w:marRight w:val="0"/>
      <w:marTop w:val="0"/>
      <w:marBottom w:val="0"/>
      <w:divBdr>
        <w:top w:val="none" w:sz="0" w:space="0" w:color="auto"/>
        <w:left w:val="none" w:sz="0" w:space="0" w:color="auto"/>
        <w:bottom w:val="none" w:sz="0" w:space="0" w:color="auto"/>
        <w:right w:val="none" w:sz="0" w:space="0" w:color="auto"/>
      </w:divBdr>
    </w:div>
    <w:div w:id="1889292984">
      <w:bodyDiv w:val="1"/>
      <w:marLeft w:val="0"/>
      <w:marRight w:val="0"/>
      <w:marTop w:val="0"/>
      <w:marBottom w:val="0"/>
      <w:divBdr>
        <w:top w:val="none" w:sz="0" w:space="0" w:color="auto"/>
        <w:left w:val="none" w:sz="0" w:space="0" w:color="auto"/>
        <w:bottom w:val="none" w:sz="0" w:space="0" w:color="auto"/>
        <w:right w:val="none" w:sz="0" w:space="0" w:color="auto"/>
      </w:divBdr>
    </w:div>
    <w:div w:id="1896503439">
      <w:bodyDiv w:val="1"/>
      <w:marLeft w:val="0"/>
      <w:marRight w:val="0"/>
      <w:marTop w:val="0"/>
      <w:marBottom w:val="0"/>
      <w:divBdr>
        <w:top w:val="none" w:sz="0" w:space="0" w:color="auto"/>
        <w:left w:val="none" w:sz="0" w:space="0" w:color="auto"/>
        <w:bottom w:val="none" w:sz="0" w:space="0" w:color="auto"/>
        <w:right w:val="none" w:sz="0" w:space="0" w:color="auto"/>
      </w:divBdr>
    </w:div>
    <w:div w:id="1909344526">
      <w:bodyDiv w:val="1"/>
      <w:marLeft w:val="0"/>
      <w:marRight w:val="0"/>
      <w:marTop w:val="0"/>
      <w:marBottom w:val="0"/>
      <w:divBdr>
        <w:top w:val="none" w:sz="0" w:space="0" w:color="auto"/>
        <w:left w:val="none" w:sz="0" w:space="0" w:color="auto"/>
        <w:bottom w:val="none" w:sz="0" w:space="0" w:color="auto"/>
        <w:right w:val="none" w:sz="0" w:space="0" w:color="auto"/>
      </w:divBdr>
    </w:div>
    <w:div w:id="1912616045">
      <w:bodyDiv w:val="1"/>
      <w:marLeft w:val="0"/>
      <w:marRight w:val="0"/>
      <w:marTop w:val="0"/>
      <w:marBottom w:val="0"/>
      <w:divBdr>
        <w:top w:val="none" w:sz="0" w:space="0" w:color="auto"/>
        <w:left w:val="none" w:sz="0" w:space="0" w:color="auto"/>
        <w:bottom w:val="none" w:sz="0" w:space="0" w:color="auto"/>
        <w:right w:val="none" w:sz="0" w:space="0" w:color="auto"/>
      </w:divBdr>
    </w:div>
    <w:div w:id="1939217377">
      <w:bodyDiv w:val="1"/>
      <w:marLeft w:val="0"/>
      <w:marRight w:val="0"/>
      <w:marTop w:val="0"/>
      <w:marBottom w:val="0"/>
      <w:divBdr>
        <w:top w:val="none" w:sz="0" w:space="0" w:color="auto"/>
        <w:left w:val="none" w:sz="0" w:space="0" w:color="auto"/>
        <w:bottom w:val="none" w:sz="0" w:space="0" w:color="auto"/>
        <w:right w:val="none" w:sz="0" w:space="0" w:color="auto"/>
      </w:divBdr>
    </w:div>
    <w:div w:id="1964338885">
      <w:bodyDiv w:val="1"/>
      <w:marLeft w:val="0"/>
      <w:marRight w:val="0"/>
      <w:marTop w:val="0"/>
      <w:marBottom w:val="0"/>
      <w:divBdr>
        <w:top w:val="none" w:sz="0" w:space="0" w:color="auto"/>
        <w:left w:val="none" w:sz="0" w:space="0" w:color="auto"/>
        <w:bottom w:val="none" w:sz="0" w:space="0" w:color="auto"/>
        <w:right w:val="none" w:sz="0" w:space="0" w:color="auto"/>
      </w:divBdr>
    </w:div>
    <w:div w:id="1980498720">
      <w:bodyDiv w:val="1"/>
      <w:marLeft w:val="0"/>
      <w:marRight w:val="0"/>
      <w:marTop w:val="0"/>
      <w:marBottom w:val="0"/>
      <w:divBdr>
        <w:top w:val="none" w:sz="0" w:space="0" w:color="auto"/>
        <w:left w:val="none" w:sz="0" w:space="0" w:color="auto"/>
        <w:bottom w:val="none" w:sz="0" w:space="0" w:color="auto"/>
        <w:right w:val="none" w:sz="0" w:space="0" w:color="auto"/>
      </w:divBdr>
    </w:div>
    <w:div w:id="1990743677">
      <w:bodyDiv w:val="1"/>
      <w:marLeft w:val="0"/>
      <w:marRight w:val="0"/>
      <w:marTop w:val="0"/>
      <w:marBottom w:val="0"/>
      <w:divBdr>
        <w:top w:val="none" w:sz="0" w:space="0" w:color="auto"/>
        <w:left w:val="none" w:sz="0" w:space="0" w:color="auto"/>
        <w:bottom w:val="none" w:sz="0" w:space="0" w:color="auto"/>
        <w:right w:val="none" w:sz="0" w:space="0" w:color="auto"/>
      </w:divBdr>
    </w:div>
    <w:div w:id="2001959451">
      <w:bodyDiv w:val="1"/>
      <w:marLeft w:val="0"/>
      <w:marRight w:val="0"/>
      <w:marTop w:val="0"/>
      <w:marBottom w:val="0"/>
      <w:divBdr>
        <w:top w:val="none" w:sz="0" w:space="0" w:color="auto"/>
        <w:left w:val="none" w:sz="0" w:space="0" w:color="auto"/>
        <w:bottom w:val="none" w:sz="0" w:space="0" w:color="auto"/>
        <w:right w:val="none" w:sz="0" w:space="0" w:color="auto"/>
      </w:divBdr>
    </w:div>
    <w:div w:id="2028753733">
      <w:bodyDiv w:val="1"/>
      <w:marLeft w:val="0"/>
      <w:marRight w:val="0"/>
      <w:marTop w:val="0"/>
      <w:marBottom w:val="0"/>
      <w:divBdr>
        <w:top w:val="none" w:sz="0" w:space="0" w:color="auto"/>
        <w:left w:val="none" w:sz="0" w:space="0" w:color="auto"/>
        <w:bottom w:val="none" w:sz="0" w:space="0" w:color="auto"/>
        <w:right w:val="none" w:sz="0" w:space="0" w:color="auto"/>
      </w:divBdr>
    </w:div>
    <w:div w:id="2047872816">
      <w:bodyDiv w:val="1"/>
      <w:marLeft w:val="0"/>
      <w:marRight w:val="0"/>
      <w:marTop w:val="0"/>
      <w:marBottom w:val="0"/>
      <w:divBdr>
        <w:top w:val="none" w:sz="0" w:space="0" w:color="auto"/>
        <w:left w:val="none" w:sz="0" w:space="0" w:color="auto"/>
        <w:bottom w:val="none" w:sz="0" w:space="0" w:color="auto"/>
        <w:right w:val="none" w:sz="0" w:space="0" w:color="auto"/>
      </w:divBdr>
    </w:div>
    <w:div w:id="2054696218">
      <w:bodyDiv w:val="1"/>
      <w:marLeft w:val="0"/>
      <w:marRight w:val="0"/>
      <w:marTop w:val="0"/>
      <w:marBottom w:val="0"/>
      <w:divBdr>
        <w:top w:val="none" w:sz="0" w:space="0" w:color="auto"/>
        <w:left w:val="none" w:sz="0" w:space="0" w:color="auto"/>
        <w:bottom w:val="none" w:sz="0" w:space="0" w:color="auto"/>
        <w:right w:val="none" w:sz="0" w:space="0" w:color="auto"/>
      </w:divBdr>
    </w:div>
    <w:div w:id="2102796534">
      <w:bodyDiv w:val="1"/>
      <w:marLeft w:val="0"/>
      <w:marRight w:val="0"/>
      <w:marTop w:val="0"/>
      <w:marBottom w:val="0"/>
      <w:divBdr>
        <w:top w:val="none" w:sz="0" w:space="0" w:color="auto"/>
        <w:left w:val="none" w:sz="0" w:space="0" w:color="auto"/>
        <w:bottom w:val="none" w:sz="0" w:space="0" w:color="auto"/>
        <w:right w:val="none" w:sz="0" w:space="0" w:color="auto"/>
      </w:divBdr>
    </w:div>
    <w:div w:id="2123454461">
      <w:bodyDiv w:val="1"/>
      <w:marLeft w:val="0"/>
      <w:marRight w:val="0"/>
      <w:marTop w:val="0"/>
      <w:marBottom w:val="0"/>
      <w:divBdr>
        <w:top w:val="none" w:sz="0" w:space="0" w:color="auto"/>
        <w:left w:val="none" w:sz="0" w:space="0" w:color="auto"/>
        <w:bottom w:val="none" w:sz="0" w:space="0" w:color="auto"/>
        <w:right w:val="none" w:sz="0" w:space="0" w:color="auto"/>
      </w:divBdr>
    </w:div>
    <w:div w:id="2123455115">
      <w:bodyDiv w:val="1"/>
      <w:marLeft w:val="0"/>
      <w:marRight w:val="0"/>
      <w:marTop w:val="0"/>
      <w:marBottom w:val="0"/>
      <w:divBdr>
        <w:top w:val="none" w:sz="0" w:space="0" w:color="auto"/>
        <w:left w:val="none" w:sz="0" w:space="0" w:color="auto"/>
        <w:bottom w:val="none" w:sz="0" w:space="0" w:color="auto"/>
        <w:right w:val="none" w:sz="0" w:space="0" w:color="auto"/>
      </w:divBdr>
    </w:div>
    <w:div w:id="213316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5.bin"/><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C7316-F772-40CE-9A5B-9026D8468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33</Pages>
  <Words>9641</Words>
  <Characters>54957</Characters>
  <Application>Microsoft Office Word</Application>
  <DocSecurity>8</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OTP Banka Slovenako, a.s.</Company>
  <LinksUpToDate>false</LinksUpToDate>
  <CharactersWithSpaces>64470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Kovasichova Dagmar</dc:creator>
  <cp:keywords/>
  <dc:description/>
  <cp:lastModifiedBy>Jozef Tvrdoň</cp:lastModifiedBy>
  <cp:revision>18</cp:revision>
  <cp:lastPrinted>2020-05-18T11:22:00Z</cp:lastPrinted>
  <dcterms:created xsi:type="dcterms:W3CDTF">2021-05-06T12:26:00Z</dcterms:created>
  <dcterms:modified xsi:type="dcterms:W3CDTF">2021-05-14T07:08:00Z</dcterms:modified>
</cp:coreProperties>
</file>